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4115" w14:textId="77777777" w:rsidR="006A0B6C" w:rsidRPr="0085597D" w:rsidRDefault="006A0B6C" w:rsidP="006A0B6C">
      <w:pPr>
        <w:jc w:val="both"/>
        <w:rPr>
          <w:rFonts w:cs="Arial"/>
          <w:b/>
          <w:lang w:val="mk-MK"/>
        </w:rPr>
      </w:pPr>
      <w:bookmarkStart w:id="0" w:name="datum"/>
      <w:bookmarkEnd w:id="0"/>
      <w:r w:rsidRPr="0085597D">
        <w:rPr>
          <w:rFonts w:cs="Arial"/>
          <w:b/>
          <w:lang w:val="mk-MK"/>
        </w:rPr>
        <w:t xml:space="preserve">Врз основа на Одлуката </w:t>
      </w:r>
      <w:r w:rsidR="00B96614" w:rsidRPr="0085597D">
        <w:rPr>
          <w:rFonts w:cs="Arial"/>
          <w:b/>
          <w:lang w:val="mk-MK"/>
        </w:rPr>
        <w:t xml:space="preserve">на Народна банка на Република Македонија </w:t>
      </w:r>
      <w:r w:rsidRPr="0085597D">
        <w:rPr>
          <w:rFonts w:cs="Arial"/>
          <w:b/>
          <w:lang w:val="mk-MK"/>
        </w:rPr>
        <w:t xml:space="preserve">за објавување извештаи и податоци од страна </w:t>
      </w:r>
      <w:r w:rsidR="004D382B" w:rsidRPr="0085597D">
        <w:rPr>
          <w:rFonts w:cs="Arial"/>
          <w:b/>
          <w:lang w:val="mk-MK"/>
        </w:rPr>
        <w:t xml:space="preserve">на </w:t>
      </w:r>
      <w:r w:rsidR="00B96614" w:rsidRPr="0085597D">
        <w:rPr>
          <w:rFonts w:cs="Arial"/>
          <w:b/>
          <w:lang w:val="mk-MK"/>
        </w:rPr>
        <w:t>б</w:t>
      </w:r>
      <w:r w:rsidRPr="0085597D">
        <w:rPr>
          <w:rFonts w:cs="Arial"/>
          <w:b/>
          <w:lang w:val="mk-MK"/>
        </w:rPr>
        <w:t xml:space="preserve">анката (Сл. Весник на РМ, бр.134/2007), НЛБ </w:t>
      </w:r>
      <w:r w:rsidR="00730CCF" w:rsidRPr="0085597D">
        <w:rPr>
          <w:rFonts w:cs="Arial"/>
          <w:b/>
          <w:lang w:val="mk-MK"/>
        </w:rPr>
        <w:t>Банка</w:t>
      </w:r>
      <w:r w:rsidRPr="0085597D">
        <w:rPr>
          <w:rFonts w:cs="Arial"/>
          <w:b/>
          <w:lang w:val="mk-MK"/>
        </w:rPr>
        <w:t xml:space="preserve"> АД Скопје објавува:</w:t>
      </w:r>
    </w:p>
    <w:p w14:paraId="6F76ACCD" w14:textId="77777777" w:rsidR="006A0B6C" w:rsidRPr="0085597D" w:rsidRDefault="006A0B6C" w:rsidP="006A0B6C">
      <w:pPr>
        <w:jc w:val="both"/>
        <w:rPr>
          <w:rFonts w:cs="Arial"/>
          <w:lang w:val="mk-MK"/>
        </w:rPr>
      </w:pPr>
    </w:p>
    <w:p w14:paraId="36D01D13" w14:textId="77777777" w:rsidR="006A0B6C" w:rsidRPr="0085597D" w:rsidRDefault="006A0B6C" w:rsidP="006A0B6C">
      <w:pPr>
        <w:jc w:val="both"/>
        <w:rPr>
          <w:rFonts w:cs="Arial"/>
          <w:lang w:val="mk-MK"/>
        </w:rPr>
      </w:pPr>
    </w:p>
    <w:p w14:paraId="68F82B41" w14:textId="77777777" w:rsidR="006A0B6C" w:rsidRPr="0085597D" w:rsidRDefault="006A0B6C" w:rsidP="006A0B6C">
      <w:pPr>
        <w:jc w:val="both"/>
        <w:rPr>
          <w:rFonts w:cs="Arial"/>
          <w:lang w:val="mk-MK"/>
        </w:rPr>
      </w:pPr>
    </w:p>
    <w:p w14:paraId="13A05626" w14:textId="6DCFAAEB" w:rsidR="00EE0C17" w:rsidRPr="0085597D" w:rsidRDefault="00EE0C17" w:rsidP="00EE0C17">
      <w:pPr>
        <w:jc w:val="center"/>
        <w:rPr>
          <w:rFonts w:cs="Arial"/>
          <w:b/>
          <w:color w:val="2B02C2"/>
          <w:sz w:val="24"/>
          <w:szCs w:val="24"/>
          <w:lang w:val="mk-MK"/>
        </w:rPr>
      </w:pPr>
      <w:r w:rsidRPr="0085597D">
        <w:rPr>
          <w:rFonts w:cs="Arial"/>
          <w:b/>
          <w:color w:val="2B02C2"/>
          <w:sz w:val="24"/>
          <w:szCs w:val="24"/>
          <w:lang w:val="mk-MK"/>
        </w:rPr>
        <w:t xml:space="preserve">ИЗВЕШТАЈ И ПОДАТОЦИ НА ДЕН </w:t>
      </w:r>
      <w:r w:rsidRPr="0085597D">
        <w:rPr>
          <w:rFonts w:cs="Arial"/>
          <w:b/>
          <w:color w:val="2B02C2"/>
          <w:sz w:val="24"/>
          <w:szCs w:val="24"/>
          <w:lang w:val="en-US"/>
        </w:rPr>
        <w:t>31.12.</w:t>
      </w:r>
      <w:r w:rsidR="00E06A37" w:rsidRPr="0085597D">
        <w:rPr>
          <w:rFonts w:cs="Arial"/>
          <w:b/>
          <w:color w:val="2B02C2"/>
          <w:sz w:val="24"/>
          <w:szCs w:val="24"/>
          <w:lang w:val="en-US"/>
        </w:rPr>
        <w:t>20</w:t>
      </w:r>
      <w:r w:rsidR="006E24CF">
        <w:rPr>
          <w:rFonts w:cs="Arial"/>
          <w:b/>
          <w:color w:val="2B02C2"/>
          <w:sz w:val="24"/>
          <w:szCs w:val="24"/>
          <w:lang w:val="en-US"/>
        </w:rPr>
        <w:t>2</w:t>
      </w:r>
      <w:r w:rsidR="00FF0CE6">
        <w:rPr>
          <w:rFonts w:cs="Arial"/>
          <w:b/>
          <w:color w:val="2B02C2"/>
          <w:sz w:val="24"/>
          <w:szCs w:val="24"/>
          <w:lang w:val="mk-MK"/>
        </w:rPr>
        <w:t>3</w:t>
      </w:r>
      <w:r w:rsidR="00E06A37" w:rsidRPr="0085597D">
        <w:rPr>
          <w:rFonts w:cs="Arial"/>
          <w:b/>
          <w:color w:val="2B02C2"/>
          <w:sz w:val="24"/>
          <w:szCs w:val="24"/>
          <w:lang w:val="mk-MK"/>
        </w:rPr>
        <w:t xml:space="preserve"> </w:t>
      </w:r>
      <w:r w:rsidRPr="0085597D">
        <w:rPr>
          <w:rFonts w:cs="Arial"/>
          <w:b/>
          <w:color w:val="2B02C2"/>
          <w:sz w:val="24"/>
          <w:szCs w:val="24"/>
          <w:lang w:val="mk-MK"/>
        </w:rPr>
        <w:t>ГОДИНА</w:t>
      </w:r>
    </w:p>
    <w:p w14:paraId="0915BB1C" w14:textId="77777777" w:rsidR="00EE0C17" w:rsidRPr="0085597D" w:rsidRDefault="00EE0C17" w:rsidP="00EE0C17">
      <w:pPr>
        <w:jc w:val="center"/>
        <w:rPr>
          <w:rFonts w:cs="Arial"/>
          <w:b/>
          <w:color w:val="2B02C2"/>
          <w:sz w:val="24"/>
          <w:szCs w:val="24"/>
          <w:lang w:val="en-US"/>
        </w:rPr>
      </w:pPr>
    </w:p>
    <w:p w14:paraId="21B7E9B4" w14:textId="224B467D" w:rsidR="00EE0C17" w:rsidRPr="0085597D" w:rsidRDefault="00EE0C17" w:rsidP="00EE0C17">
      <w:pPr>
        <w:jc w:val="center"/>
        <w:rPr>
          <w:rFonts w:cs="Arial"/>
          <w:lang w:val="mk-MK"/>
        </w:rPr>
      </w:pPr>
      <w:r w:rsidRPr="0085597D">
        <w:rPr>
          <w:rFonts w:cs="Arial"/>
          <w:lang w:val="en-US"/>
        </w:rPr>
        <w:t>(</w:t>
      </w:r>
      <w:r w:rsidRPr="0085597D">
        <w:rPr>
          <w:rFonts w:cs="Arial"/>
          <w:lang w:val="mk-MK"/>
        </w:rPr>
        <w:t xml:space="preserve">објавени на </w:t>
      </w:r>
      <w:r w:rsidR="004D0DBC" w:rsidRPr="0085597D">
        <w:rPr>
          <w:rFonts w:cs="Arial"/>
          <w:lang w:val="mk-MK"/>
        </w:rPr>
        <w:t>1</w:t>
      </w:r>
      <w:r w:rsidR="004D0DBC" w:rsidRPr="0085597D">
        <w:rPr>
          <w:rFonts w:cs="Arial"/>
          <w:lang w:val="en-GB"/>
        </w:rPr>
        <w:t>5</w:t>
      </w:r>
      <w:r w:rsidRPr="0085597D">
        <w:rPr>
          <w:rFonts w:cs="Arial"/>
          <w:lang w:val="mk-MK"/>
        </w:rPr>
        <w:t>.5.</w:t>
      </w:r>
      <w:r w:rsidR="004D0DBC" w:rsidRPr="0085597D">
        <w:rPr>
          <w:rFonts w:cs="Arial"/>
          <w:lang w:val="mk-MK"/>
        </w:rPr>
        <w:t>20</w:t>
      </w:r>
      <w:r w:rsidR="004D0DBC" w:rsidRPr="0085597D">
        <w:rPr>
          <w:rFonts w:cs="Arial"/>
          <w:lang w:val="en-GB"/>
        </w:rPr>
        <w:t>2</w:t>
      </w:r>
      <w:r w:rsidR="001975E0">
        <w:rPr>
          <w:rFonts w:cs="Arial"/>
          <w:lang w:val="mk-MK"/>
        </w:rPr>
        <w:t>4</w:t>
      </w:r>
      <w:r w:rsidR="004D0DBC" w:rsidRPr="0085597D">
        <w:rPr>
          <w:rFonts w:cs="Arial"/>
          <w:lang w:val="mk-MK"/>
        </w:rPr>
        <w:t xml:space="preserve"> </w:t>
      </w:r>
      <w:r w:rsidRPr="0085597D">
        <w:rPr>
          <w:rFonts w:cs="Arial"/>
          <w:lang w:val="mk-MK"/>
        </w:rPr>
        <w:t>година)</w:t>
      </w:r>
    </w:p>
    <w:p w14:paraId="278D71A3" w14:textId="77777777" w:rsidR="00EE0C17" w:rsidRPr="0085597D" w:rsidRDefault="00EE0C17" w:rsidP="00EE0C17">
      <w:pPr>
        <w:jc w:val="center"/>
        <w:rPr>
          <w:rFonts w:cs="Arial"/>
          <w:b/>
          <w:color w:val="2B02C2"/>
          <w:sz w:val="24"/>
          <w:szCs w:val="24"/>
          <w:lang w:val="en-US"/>
        </w:rPr>
      </w:pPr>
    </w:p>
    <w:p w14:paraId="784D4C7C" w14:textId="77777777" w:rsidR="006A0B6C" w:rsidRPr="0085597D" w:rsidRDefault="006A0B6C" w:rsidP="006A0B6C">
      <w:pPr>
        <w:jc w:val="center"/>
        <w:rPr>
          <w:rFonts w:cs="Arial"/>
          <w:lang w:val="mk-MK"/>
        </w:rPr>
      </w:pPr>
    </w:p>
    <w:p w14:paraId="487C1BD2" w14:textId="77777777" w:rsidR="006A0B6C" w:rsidRPr="0085597D" w:rsidRDefault="006A0B6C" w:rsidP="006A0B6C">
      <w:pPr>
        <w:rPr>
          <w:rFonts w:cs="Arial"/>
          <w:b/>
          <w:lang w:val="ru-RU"/>
        </w:rPr>
      </w:pPr>
      <w:r w:rsidRPr="0085597D">
        <w:rPr>
          <w:rFonts w:cs="Arial"/>
          <w:b/>
          <w:lang w:val="mk-MK"/>
        </w:rPr>
        <w:t>СОДРЖИНА:</w:t>
      </w:r>
    </w:p>
    <w:p w14:paraId="5C441AFC" w14:textId="77777777" w:rsidR="006A0B6C" w:rsidRPr="0085597D" w:rsidRDefault="006A0B6C" w:rsidP="006A0B6C">
      <w:pPr>
        <w:rPr>
          <w:rFonts w:cs="Arial"/>
          <w:b/>
          <w:lang w:val="ru-RU"/>
        </w:rPr>
      </w:pPr>
    </w:p>
    <w:p w14:paraId="3BCC0B44" w14:textId="77777777" w:rsidR="006A0B6C" w:rsidRPr="0085597D" w:rsidRDefault="006A0B6C" w:rsidP="006A0B6C">
      <w:pPr>
        <w:rPr>
          <w:rFonts w:cs="Arial"/>
          <w:b/>
          <w:lang w:val="mk-MK"/>
        </w:rPr>
      </w:pPr>
      <w:r w:rsidRPr="0085597D">
        <w:rPr>
          <w:rFonts w:cs="Arial"/>
          <w:b/>
          <w:lang w:val="mk-MK"/>
        </w:rPr>
        <w:t xml:space="preserve">1. </w:t>
      </w:r>
      <w:r w:rsidR="009E1301" w:rsidRPr="0085597D">
        <w:rPr>
          <w:rFonts w:cs="Arial"/>
          <w:b/>
          <w:lang w:val="mk-MK"/>
        </w:rPr>
        <w:t>Податоци за Банката</w:t>
      </w:r>
    </w:p>
    <w:p w14:paraId="1DD901C1" w14:textId="77777777" w:rsidR="006A0B6C" w:rsidRPr="0085597D" w:rsidRDefault="009E1301" w:rsidP="009E1301">
      <w:pPr>
        <w:ind w:firstLine="720"/>
        <w:rPr>
          <w:rFonts w:cs="Arial"/>
          <w:b/>
          <w:lang w:val="mk-MK"/>
        </w:rPr>
      </w:pPr>
      <w:r w:rsidRPr="0085597D">
        <w:rPr>
          <w:rFonts w:cs="Arial"/>
          <w:b/>
          <w:lang w:val="mk-MK"/>
        </w:rPr>
        <w:t xml:space="preserve">1.1. Податоци за банкарска група </w:t>
      </w:r>
    </w:p>
    <w:p w14:paraId="2924F89F" w14:textId="77777777" w:rsidR="009E1301" w:rsidRPr="0085597D" w:rsidRDefault="009E1301" w:rsidP="009E1301">
      <w:pPr>
        <w:rPr>
          <w:rFonts w:cs="Arial"/>
          <w:b/>
          <w:bCs/>
          <w:lang w:val="mk-MK"/>
        </w:rPr>
      </w:pPr>
      <w:r w:rsidRPr="0085597D">
        <w:rPr>
          <w:rFonts w:cs="Arial"/>
          <w:b/>
          <w:bCs/>
          <w:lang w:val="mk-MK"/>
        </w:rPr>
        <w:t>2. Податоци за акционерската структура на Банката- акционери со квалификувано учество</w:t>
      </w:r>
    </w:p>
    <w:p w14:paraId="0A62A563" w14:textId="77777777" w:rsidR="009E1301" w:rsidRPr="0085597D" w:rsidRDefault="009E1301" w:rsidP="006A0B6C">
      <w:pPr>
        <w:rPr>
          <w:rFonts w:cs="Arial"/>
          <w:b/>
          <w:lang w:val="en-US"/>
        </w:rPr>
      </w:pPr>
      <w:r w:rsidRPr="0085597D">
        <w:rPr>
          <w:rFonts w:cs="Arial"/>
          <w:b/>
          <w:bCs/>
          <w:lang w:val="mk-MK"/>
        </w:rPr>
        <w:t>3. Податоци за сопствените средства и за адекватноста на капиталот на Банката</w:t>
      </w:r>
      <w:r w:rsidRPr="0085597D">
        <w:rPr>
          <w:rFonts w:cs="Arial"/>
          <w:b/>
          <w:lang w:val="mk-MK"/>
        </w:rPr>
        <w:t xml:space="preserve"> </w:t>
      </w:r>
    </w:p>
    <w:p w14:paraId="056F6E3B" w14:textId="77777777" w:rsidR="00CC336B" w:rsidRPr="0085597D" w:rsidRDefault="00CC336B" w:rsidP="006A0B6C">
      <w:pPr>
        <w:rPr>
          <w:rFonts w:cs="Arial"/>
          <w:b/>
          <w:lang w:val="mk-MK"/>
        </w:rPr>
      </w:pPr>
      <w:r w:rsidRPr="0085597D">
        <w:rPr>
          <w:rFonts w:cs="Arial"/>
          <w:b/>
          <w:lang w:val="ru-RU"/>
        </w:rPr>
        <w:t>4.</w:t>
      </w:r>
      <w:r w:rsidRPr="0085597D">
        <w:rPr>
          <w:rFonts w:cs="Arial"/>
          <w:b/>
          <w:lang w:val="mk-MK"/>
        </w:rPr>
        <w:t xml:space="preserve"> Податоци за процесот на управување со ризиците</w:t>
      </w:r>
    </w:p>
    <w:p w14:paraId="1EE487CE" w14:textId="77777777" w:rsidR="006A0B6C" w:rsidRPr="0085597D" w:rsidRDefault="006A0B6C" w:rsidP="006A0B6C">
      <w:pPr>
        <w:rPr>
          <w:rFonts w:cs="Arial"/>
          <w:lang w:val="mk-MK"/>
        </w:rPr>
      </w:pPr>
    </w:p>
    <w:p w14:paraId="403AB06B" w14:textId="77777777" w:rsidR="006A0B6C" w:rsidRPr="0085597D" w:rsidRDefault="006A0B6C" w:rsidP="006A0B6C">
      <w:pPr>
        <w:rPr>
          <w:rFonts w:cs="Arial"/>
          <w:lang w:val="mk-MK"/>
        </w:rPr>
      </w:pPr>
    </w:p>
    <w:tbl>
      <w:tblPr>
        <w:tblW w:w="103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17"/>
        <w:gridCol w:w="142"/>
        <w:gridCol w:w="8515"/>
      </w:tblGrid>
      <w:tr w:rsidR="006A0B6C" w:rsidRPr="0085597D" w14:paraId="50D19ACE" w14:textId="77777777" w:rsidTr="000B7C52">
        <w:trPr>
          <w:trHeight w:val="272"/>
        </w:trPr>
        <w:tc>
          <w:tcPr>
            <w:tcW w:w="10359" w:type="dxa"/>
            <w:gridSpan w:val="4"/>
            <w:shd w:val="clear" w:color="auto" w:fill="92D050"/>
            <w:vAlign w:val="center"/>
          </w:tcPr>
          <w:p w14:paraId="268ED6C2" w14:textId="77777777" w:rsidR="006A0B6C" w:rsidRPr="0085597D" w:rsidRDefault="006A0B6C" w:rsidP="00580FEF">
            <w:pPr>
              <w:rPr>
                <w:rFonts w:cs="Arial"/>
                <w:color w:val="FFFFFF"/>
                <w:lang w:val="mk-MK"/>
              </w:rPr>
            </w:pPr>
            <w:r w:rsidRPr="0085597D">
              <w:rPr>
                <w:rFonts w:cs="Arial"/>
                <w:b/>
                <w:color w:val="FFFFFF"/>
                <w:lang w:val="mk-MK"/>
              </w:rPr>
              <w:t>1. ПОДАТОЦИ ЗА БАНКАТА</w:t>
            </w:r>
          </w:p>
        </w:tc>
      </w:tr>
      <w:tr w:rsidR="006A0B6C" w:rsidRPr="0085597D" w14:paraId="3962FD36" w14:textId="77777777" w:rsidTr="000B7C52">
        <w:trPr>
          <w:trHeight w:val="327"/>
        </w:trPr>
        <w:tc>
          <w:tcPr>
            <w:tcW w:w="1844" w:type="dxa"/>
            <w:gridSpan w:val="3"/>
            <w:vAlign w:val="center"/>
          </w:tcPr>
          <w:p w14:paraId="142CB1DF" w14:textId="77777777" w:rsidR="006A0B6C" w:rsidRPr="0085597D" w:rsidRDefault="006A0B6C" w:rsidP="00580FEF">
            <w:pPr>
              <w:rPr>
                <w:rFonts w:cs="Arial"/>
                <w:lang w:val="en-US"/>
              </w:rPr>
            </w:pPr>
            <w:r w:rsidRPr="0085597D">
              <w:rPr>
                <w:rFonts w:cs="Arial"/>
                <w:b/>
                <w:lang w:val="mk-MK"/>
              </w:rPr>
              <w:t>Назив</w:t>
            </w:r>
          </w:p>
        </w:tc>
        <w:tc>
          <w:tcPr>
            <w:tcW w:w="8515" w:type="dxa"/>
            <w:vAlign w:val="center"/>
          </w:tcPr>
          <w:p w14:paraId="11B0741B" w14:textId="77777777" w:rsidR="006A0B6C" w:rsidRPr="0085597D" w:rsidRDefault="00BD3021" w:rsidP="00580FEF">
            <w:pPr>
              <w:rPr>
                <w:rFonts w:cs="Arial"/>
                <w:lang w:val="mk-MK"/>
              </w:rPr>
            </w:pPr>
            <w:r w:rsidRPr="0085597D">
              <w:rPr>
                <w:rFonts w:cs="Arial"/>
                <w:lang w:val="mk-MK"/>
              </w:rPr>
              <w:t xml:space="preserve">НЛБ </w:t>
            </w:r>
            <w:r w:rsidR="00730CCF" w:rsidRPr="0085597D">
              <w:rPr>
                <w:rFonts w:cs="Arial"/>
                <w:lang w:val="mk-MK"/>
              </w:rPr>
              <w:t>Банка</w:t>
            </w:r>
            <w:r w:rsidRPr="0085597D">
              <w:rPr>
                <w:rFonts w:cs="Arial"/>
                <w:lang w:val="mk-MK"/>
              </w:rPr>
              <w:t xml:space="preserve"> АД Скопје</w:t>
            </w:r>
          </w:p>
        </w:tc>
      </w:tr>
      <w:tr w:rsidR="009C0FF2" w:rsidRPr="0085597D" w14:paraId="6CFC1A2E" w14:textId="77777777" w:rsidTr="000B7C52">
        <w:trPr>
          <w:trHeight w:val="327"/>
        </w:trPr>
        <w:tc>
          <w:tcPr>
            <w:tcW w:w="1844" w:type="dxa"/>
            <w:gridSpan w:val="3"/>
            <w:vAlign w:val="center"/>
          </w:tcPr>
          <w:p w14:paraId="2598CC72" w14:textId="77777777" w:rsidR="009C0FF2" w:rsidRPr="0085597D" w:rsidRDefault="009C0FF2" w:rsidP="00580FEF">
            <w:pPr>
              <w:rPr>
                <w:rFonts w:cs="Arial"/>
                <w:b/>
                <w:lang w:val="mk-MK"/>
              </w:rPr>
            </w:pPr>
            <w:r w:rsidRPr="0085597D">
              <w:rPr>
                <w:rFonts w:cs="Arial"/>
                <w:b/>
                <w:lang w:val="mk-MK"/>
              </w:rPr>
              <w:t>Матичен број</w:t>
            </w:r>
          </w:p>
        </w:tc>
        <w:tc>
          <w:tcPr>
            <w:tcW w:w="8515" w:type="dxa"/>
            <w:vAlign w:val="center"/>
          </w:tcPr>
          <w:p w14:paraId="71E8045B" w14:textId="77777777" w:rsidR="009C0FF2" w:rsidRPr="00AF2E40" w:rsidRDefault="00BD3021" w:rsidP="00580FEF">
            <w:pPr>
              <w:rPr>
                <w:rFonts w:cs="Arial"/>
                <w:lang w:val="mk-MK"/>
              </w:rPr>
            </w:pPr>
            <w:r w:rsidRPr="00AF2E40">
              <w:rPr>
                <w:rFonts w:cs="Arial"/>
                <w:lang w:val="mk-MK"/>
              </w:rPr>
              <w:t>4664531</w:t>
            </w:r>
          </w:p>
        </w:tc>
      </w:tr>
      <w:tr w:rsidR="006A0B6C" w:rsidRPr="0085597D" w14:paraId="4E84A211" w14:textId="77777777" w:rsidTr="000B7C52">
        <w:trPr>
          <w:trHeight w:val="534"/>
        </w:trPr>
        <w:tc>
          <w:tcPr>
            <w:tcW w:w="1844" w:type="dxa"/>
            <w:gridSpan w:val="3"/>
            <w:vAlign w:val="center"/>
          </w:tcPr>
          <w:p w14:paraId="1E85521F" w14:textId="77777777" w:rsidR="006A0B6C" w:rsidRPr="0085597D" w:rsidRDefault="006A0B6C" w:rsidP="00580FEF">
            <w:pPr>
              <w:rPr>
                <w:rFonts w:cs="Arial"/>
                <w:lang w:val="en-US"/>
              </w:rPr>
            </w:pPr>
            <w:r w:rsidRPr="0085597D">
              <w:rPr>
                <w:rFonts w:cs="Arial"/>
                <w:b/>
                <w:lang w:val="mk-MK"/>
              </w:rPr>
              <w:t>Седиште</w:t>
            </w:r>
          </w:p>
        </w:tc>
        <w:tc>
          <w:tcPr>
            <w:tcW w:w="8515" w:type="dxa"/>
            <w:vAlign w:val="center"/>
          </w:tcPr>
          <w:p w14:paraId="7BAC2907" w14:textId="2EFE40B3" w:rsidR="00BD3021" w:rsidRPr="00AF2E40" w:rsidRDefault="00462407" w:rsidP="00BD3021">
            <w:pPr>
              <w:rPr>
                <w:rFonts w:cs="Arial"/>
                <w:lang w:val="mk-MK"/>
              </w:rPr>
            </w:pPr>
            <w:r w:rsidRPr="00AF2E40">
              <w:rPr>
                <w:rFonts w:cs="Arial"/>
                <w:lang w:val="mk-MK"/>
              </w:rPr>
              <w:t>Ул.</w:t>
            </w:r>
            <w:r w:rsidR="00D459FA" w:rsidRPr="00AF2E40">
              <w:rPr>
                <w:rFonts w:cs="Arial"/>
                <w:lang w:val="mk-MK"/>
              </w:rPr>
              <w:t xml:space="preserve"> Водњанска</w:t>
            </w:r>
            <w:r w:rsidRPr="00AF2E40">
              <w:rPr>
                <w:rFonts w:cs="Arial"/>
                <w:lang w:val="mk-MK"/>
              </w:rPr>
              <w:t xml:space="preserve"> бр.1,</w:t>
            </w:r>
          </w:p>
          <w:p w14:paraId="16AEF379" w14:textId="77777777" w:rsidR="00462407" w:rsidRPr="00AF2E40" w:rsidRDefault="00462407" w:rsidP="00CC4869">
            <w:pPr>
              <w:rPr>
                <w:rFonts w:cs="Arial"/>
                <w:lang w:val="mk-MK"/>
              </w:rPr>
            </w:pPr>
            <w:r w:rsidRPr="00AF2E40">
              <w:rPr>
                <w:rFonts w:cs="Arial"/>
                <w:lang w:val="en-US"/>
              </w:rPr>
              <w:t xml:space="preserve">1000 </w:t>
            </w:r>
            <w:r w:rsidRPr="00AF2E40">
              <w:rPr>
                <w:rFonts w:cs="Arial"/>
                <w:lang w:val="mk-MK"/>
              </w:rPr>
              <w:t>Скопје, општина Центар</w:t>
            </w:r>
            <w:r w:rsidR="00BD3021" w:rsidRPr="00AF2E40">
              <w:rPr>
                <w:rFonts w:cs="Arial"/>
                <w:lang w:val="mk-MK"/>
              </w:rPr>
              <w:t xml:space="preserve">, </w:t>
            </w:r>
          </w:p>
          <w:p w14:paraId="50BF1B3C" w14:textId="77777777" w:rsidR="006A0B6C" w:rsidRPr="00AF2E40" w:rsidRDefault="00BD3021" w:rsidP="00CC4869">
            <w:pPr>
              <w:rPr>
                <w:rFonts w:cs="Arial"/>
                <w:lang w:val="mk-MK"/>
              </w:rPr>
            </w:pPr>
            <w:r w:rsidRPr="00AF2E40">
              <w:rPr>
                <w:rFonts w:cs="Arial"/>
                <w:lang w:val="mk-MK"/>
              </w:rPr>
              <w:t>п.фах. 702</w:t>
            </w:r>
          </w:p>
        </w:tc>
      </w:tr>
      <w:tr w:rsidR="006A0B6C" w:rsidRPr="0085597D" w14:paraId="39DE7C26" w14:textId="77777777" w:rsidTr="000B7C52">
        <w:trPr>
          <w:trHeight w:val="272"/>
        </w:trPr>
        <w:tc>
          <w:tcPr>
            <w:tcW w:w="1844" w:type="dxa"/>
            <w:gridSpan w:val="3"/>
            <w:vAlign w:val="center"/>
          </w:tcPr>
          <w:p w14:paraId="514A34C6" w14:textId="77777777" w:rsidR="006A0B6C" w:rsidRPr="0085597D" w:rsidRDefault="00924ABE" w:rsidP="00580FEF">
            <w:pPr>
              <w:rPr>
                <w:rFonts w:cs="Arial"/>
                <w:b/>
                <w:lang w:val="en-US"/>
              </w:rPr>
            </w:pPr>
            <w:r w:rsidRPr="00AF2E40">
              <w:rPr>
                <w:rFonts w:cs="Arial"/>
                <w:b/>
                <w:lang w:val="mk-MK"/>
              </w:rPr>
              <w:t>Организациска структура</w:t>
            </w:r>
          </w:p>
        </w:tc>
        <w:tc>
          <w:tcPr>
            <w:tcW w:w="8515" w:type="dxa"/>
            <w:vAlign w:val="center"/>
          </w:tcPr>
          <w:p w14:paraId="26D77E87" w14:textId="77777777" w:rsidR="004D0DBC" w:rsidRPr="00B92975" w:rsidRDefault="004D0DBC" w:rsidP="004D0DBC">
            <w:pPr>
              <w:spacing w:before="240"/>
              <w:rPr>
                <w:rFonts w:cs="Arial"/>
                <w:b/>
                <w:lang w:val="ru-RU"/>
              </w:rPr>
            </w:pPr>
            <w:r w:rsidRPr="00B92975">
              <w:rPr>
                <w:rFonts w:cs="Arial"/>
                <w:b/>
                <w:lang w:val="mk-MK"/>
              </w:rPr>
              <w:t>Собрание</w:t>
            </w:r>
          </w:p>
          <w:p w14:paraId="341DB86B" w14:textId="77777777" w:rsidR="004D0DBC" w:rsidRPr="00B92975" w:rsidRDefault="004D0DBC" w:rsidP="004D0DBC">
            <w:pPr>
              <w:rPr>
                <w:rFonts w:cs="Arial"/>
                <w:b/>
                <w:lang w:val="ru-RU"/>
              </w:rPr>
            </w:pPr>
            <w:r w:rsidRPr="00B92975">
              <w:rPr>
                <w:rFonts w:cs="Arial"/>
                <w:b/>
                <w:lang w:val="mk-MK"/>
              </w:rPr>
              <w:t>Надзорен одбор</w:t>
            </w:r>
          </w:p>
          <w:p w14:paraId="73389D43" w14:textId="77777777" w:rsidR="004D0DBC" w:rsidRPr="00B92975" w:rsidRDefault="004D0DBC" w:rsidP="004D0DBC">
            <w:pPr>
              <w:rPr>
                <w:rFonts w:cs="Arial"/>
                <w:b/>
                <w:lang w:val="ru-RU"/>
              </w:rPr>
            </w:pPr>
            <w:r w:rsidRPr="00B92975">
              <w:rPr>
                <w:rFonts w:cs="Arial"/>
                <w:b/>
                <w:lang w:val="mk-MK"/>
              </w:rPr>
              <w:t>Одбор</w:t>
            </w:r>
            <w:r w:rsidRPr="00B92975">
              <w:rPr>
                <w:rFonts w:cs="Arial"/>
                <w:b/>
                <w:lang w:val="en-US"/>
              </w:rPr>
              <w:t xml:space="preserve"> </w:t>
            </w:r>
            <w:r w:rsidRPr="00B92975">
              <w:rPr>
                <w:rFonts w:cs="Arial"/>
                <w:b/>
                <w:lang w:val="mk-MK"/>
              </w:rPr>
              <w:t>за</w:t>
            </w:r>
            <w:r w:rsidRPr="00B92975">
              <w:rPr>
                <w:rFonts w:cs="Arial"/>
                <w:b/>
                <w:lang w:val="en-US"/>
              </w:rPr>
              <w:t xml:space="preserve"> </w:t>
            </w:r>
            <w:r w:rsidRPr="00B92975">
              <w:rPr>
                <w:rFonts w:cs="Arial"/>
                <w:b/>
                <w:lang w:val="mk-MK"/>
              </w:rPr>
              <w:t>управување</w:t>
            </w:r>
            <w:r w:rsidRPr="00B92975">
              <w:rPr>
                <w:rFonts w:cs="Arial"/>
                <w:b/>
                <w:lang w:val="en-US"/>
              </w:rPr>
              <w:t xml:space="preserve"> </w:t>
            </w:r>
            <w:r w:rsidRPr="00B92975">
              <w:rPr>
                <w:rFonts w:cs="Arial"/>
                <w:b/>
                <w:lang w:val="mk-MK"/>
              </w:rPr>
              <w:t>со</w:t>
            </w:r>
            <w:r w:rsidRPr="00B92975">
              <w:rPr>
                <w:rFonts w:cs="Arial"/>
                <w:b/>
                <w:lang w:val="en-US"/>
              </w:rPr>
              <w:t xml:space="preserve"> </w:t>
            </w:r>
            <w:r w:rsidRPr="00B92975">
              <w:rPr>
                <w:rFonts w:cs="Arial"/>
                <w:b/>
                <w:lang w:val="mk-MK"/>
              </w:rPr>
              <w:t xml:space="preserve">ризици </w:t>
            </w:r>
          </w:p>
          <w:p w14:paraId="5DF5FC9D" w14:textId="77777777" w:rsidR="004D0DBC" w:rsidRPr="00B92975" w:rsidRDefault="004D0DBC" w:rsidP="004D0DBC">
            <w:pPr>
              <w:rPr>
                <w:rFonts w:cs="Arial"/>
                <w:b/>
                <w:lang w:val="mk-MK"/>
              </w:rPr>
            </w:pPr>
            <w:r w:rsidRPr="00B92975">
              <w:rPr>
                <w:rFonts w:cs="Arial"/>
                <w:b/>
                <w:lang w:val="mk-MK"/>
              </w:rPr>
              <w:t>Одбор</w:t>
            </w:r>
            <w:r w:rsidRPr="00B92975">
              <w:rPr>
                <w:rFonts w:cs="Arial"/>
                <w:b/>
                <w:lang w:val="en-US"/>
              </w:rPr>
              <w:t xml:space="preserve"> </w:t>
            </w:r>
            <w:r w:rsidRPr="00B92975">
              <w:rPr>
                <w:rFonts w:cs="Arial"/>
                <w:b/>
                <w:lang w:val="mk-MK"/>
              </w:rPr>
              <w:t>за</w:t>
            </w:r>
            <w:r w:rsidRPr="00B92975">
              <w:rPr>
                <w:rFonts w:cs="Arial"/>
                <w:b/>
                <w:lang w:val="en-US"/>
              </w:rPr>
              <w:t xml:space="preserve"> </w:t>
            </w:r>
            <w:r w:rsidRPr="00B92975">
              <w:rPr>
                <w:rFonts w:cs="Arial"/>
                <w:b/>
                <w:lang w:val="mk-MK"/>
              </w:rPr>
              <w:t>ревизија</w:t>
            </w:r>
          </w:p>
          <w:p w14:paraId="40E8F4D1" w14:textId="77777777" w:rsidR="004D0DBC" w:rsidRPr="00B92975" w:rsidRDefault="004D0DBC" w:rsidP="004D0DBC">
            <w:pPr>
              <w:rPr>
                <w:rFonts w:cs="Arial"/>
                <w:b/>
                <w:lang w:val="en-GB"/>
              </w:rPr>
            </w:pPr>
            <w:r w:rsidRPr="00B92975">
              <w:rPr>
                <w:rFonts w:cs="Arial"/>
                <w:b/>
                <w:lang w:val="mk-MK"/>
              </w:rPr>
              <w:t>Надзорен одбор врз Информативниот систем</w:t>
            </w:r>
          </w:p>
          <w:p w14:paraId="4404D157" w14:textId="77777777" w:rsidR="004D0DBC" w:rsidRPr="00B92975" w:rsidRDefault="004D0DBC" w:rsidP="004D0DBC">
            <w:pPr>
              <w:rPr>
                <w:rFonts w:cs="Arial"/>
                <w:b/>
                <w:lang w:val="mk-MK"/>
              </w:rPr>
            </w:pPr>
            <w:r w:rsidRPr="00B92975">
              <w:rPr>
                <w:rFonts w:cs="Arial"/>
                <w:b/>
                <w:lang w:val="mk-MK"/>
              </w:rPr>
              <w:t>Кредитен одбор</w:t>
            </w:r>
          </w:p>
          <w:p w14:paraId="07DFC12A" w14:textId="77777777" w:rsidR="004D0DBC" w:rsidRPr="00B92975" w:rsidRDefault="004D0DBC" w:rsidP="004D0DBC">
            <w:pPr>
              <w:spacing w:before="240"/>
              <w:rPr>
                <w:rFonts w:cs="Arial"/>
                <w:b/>
                <w:bCs/>
                <w:lang w:val="mk-MK"/>
              </w:rPr>
            </w:pPr>
            <w:r w:rsidRPr="00B92975">
              <w:rPr>
                <w:rFonts w:cs="Arial"/>
                <w:b/>
                <w:bCs/>
                <w:lang w:val="mk-MK"/>
              </w:rPr>
              <w:t>Управен одбор</w:t>
            </w:r>
          </w:p>
          <w:p w14:paraId="2E021178" w14:textId="3786EC3E" w:rsidR="004D0DBC" w:rsidRPr="00B92975" w:rsidRDefault="004D0DBC" w:rsidP="004D0DBC">
            <w:pPr>
              <w:pStyle w:val="BodyText"/>
              <w:spacing w:after="0"/>
              <w:rPr>
                <w:rFonts w:cs="Arial"/>
                <w:bCs/>
              </w:rPr>
            </w:pPr>
            <w:r w:rsidRPr="00B92975">
              <w:rPr>
                <w:rFonts w:cs="Arial"/>
                <w:bCs/>
              </w:rPr>
              <w:t>Претседател на Управен одбор</w:t>
            </w:r>
          </w:p>
          <w:p w14:paraId="2064FEB0" w14:textId="77777777" w:rsidR="004D0DBC" w:rsidRPr="00B92975" w:rsidRDefault="004D0DBC" w:rsidP="004D0DBC">
            <w:pPr>
              <w:pStyle w:val="BodyText"/>
              <w:spacing w:after="0"/>
              <w:rPr>
                <w:rFonts w:cs="Arial"/>
                <w:bCs/>
              </w:rPr>
            </w:pPr>
            <w:r w:rsidRPr="00B92975">
              <w:rPr>
                <w:rFonts w:cs="Arial"/>
                <w:bCs/>
              </w:rPr>
              <w:t xml:space="preserve">Член на Управен одбор </w:t>
            </w:r>
          </w:p>
          <w:p w14:paraId="5D8B7476" w14:textId="77777777" w:rsidR="004D0DBC" w:rsidRPr="00B92975" w:rsidRDefault="004D0DBC" w:rsidP="004D0DBC">
            <w:pPr>
              <w:pStyle w:val="BodyText"/>
              <w:spacing w:after="0"/>
              <w:rPr>
                <w:rFonts w:cs="Arial"/>
                <w:bCs/>
                <w:lang w:val="mk-MK"/>
              </w:rPr>
            </w:pPr>
            <w:r w:rsidRPr="00B92975">
              <w:rPr>
                <w:rFonts w:cs="Arial"/>
                <w:bCs/>
              </w:rPr>
              <w:t>Член на Управен одбор</w:t>
            </w:r>
          </w:p>
          <w:p w14:paraId="49FFBA7E" w14:textId="77777777" w:rsidR="004D0DBC" w:rsidRPr="00B92975" w:rsidRDefault="004D0DBC" w:rsidP="004D0DBC">
            <w:pPr>
              <w:pStyle w:val="BodyText"/>
              <w:spacing w:after="0"/>
              <w:rPr>
                <w:rFonts w:cs="Arial"/>
                <w:bCs/>
              </w:rPr>
            </w:pPr>
            <w:r w:rsidRPr="00B92975">
              <w:rPr>
                <w:rFonts w:cs="Arial"/>
                <w:bCs/>
                <w:lang w:val="mk-MK"/>
              </w:rPr>
              <w:t>Член на Управен одбор</w:t>
            </w:r>
            <w:r w:rsidRPr="00B92975">
              <w:rPr>
                <w:rFonts w:cs="Arial"/>
                <w:bCs/>
              </w:rPr>
              <w:t xml:space="preserve"> </w:t>
            </w:r>
          </w:p>
          <w:p w14:paraId="72A255A1" w14:textId="77777777" w:rsidR="004D0DBC" w:rsidRPr="00B92975" w:rsidRDefault="004D0DBC" w:rsidP="004D0DBC">
            <w:pPr>
              <w:spacing w:before="240"/>
              <w:rPr>
                <w:rFonts w:cs="Arial"/>
                <w:b/>
                <w:lang w:val="ru-RU"/>
              </w:rPr>
            </w:pPr>
            <w:r w:rsidRPr="00B92975">
              <w:rPr>
                <w:rFonts w:cs="Arial"/>
                <w:b/>
                <w:lang w:val="mk-MK"/>
              </w:rPr>
              <w:t>Одбор</w:t>
            </w:r>
            <w:r w:rsidRPr="00B92975">
              <w:rPr>
                <w:rFonts w:cs="Arial"/>
                <w:b/>
                <w:lang w:val="en-US"/>
              </w:rPr>
              <w:t xml:space="preserve"> </w:t>
            </w:r>
            <w:r w:rsidRPr="00B92975">
              <w:rPr>
                <w:rFonts w:cs="Arial"/>
                <w:b/>
                <w:lang w:val="mk-MK"/>
              </w:rPr>
              <w:t>за</w:t>
            </w:r>
            <w:r w:rsidRPr="00B92975">
              <w:rPr>
                <w:rFonts w:cs="Arial"/>
                <w:b/>
                <w:lang w:val="en-US"/>
              </w:rPr>
              <w:t xml:space="preserve"> </w:t>
            </w:r>
            <w:r w:rsidRPr="00B92975">
              <w:rPr>
                <w:rFonts w:cs="Arial"/>
                <w:b/>
                <w:lang w:val="mk-MK"/>
              </w:rPr>
              <w:t>развој (ОР)</w:t>
            </w:r>
          </w:p>
          <w:p w14:paraId="58BBE3DE" w14:textId="77777777" w:rsidR="004D0DBC" w:rsidRPr="00B92975" w:rsidRDefault="004D0DBC" w:rsidP="004D0DBC">
            <w:pPr>
              <w:rPr>
                <w:rFonts w:cs="Arial"/>
                <w:b/>
                <w:lang w:val="mk-MK"/>
              </w:rPr>
            </w:pPr>
            <w:r w:rsidRPr="00B92975">
              <w:rPr>
                <w:rFonts w:cs="Arial"/>
                <w:b/>
                <w:lang w:val="mk-MK"/>
              </w:rPr>
              <w:t>Одбор за управување на средства и обврски (ОУСО)</w:t>
            </w:r>
          </w:p>
          <w:p w14:paraId="79ED4B13" w14:textId="3688A8B4" w:rsidR="009D69E6" w:rsidRPr="00B92975" w:rsidRDefault="009D69E6" w:rsidP="004D0DBC">
            <w:pPr>
              <w:jc w:val="both"/>
              <w:rPr>
                <w:rFonts w:cs="Arial"/>
                <w:b/>
                <w:lang w:val="mk-MK"/>
              </w:rPr>
            </w:pPr>
          </w:p>
          <w:p w14:paraId="71B0453E" w14:textId="11C627B0" w:rsidR="004D0DBC" w:rsidRPr="00B92975" w:rsidRDefault="004D0DBC" w:rsidP="004D0DBC">
            <w:pPr>
              <w:jc w:val="both"/>
              <w:rPr>
                <w:rFonts w:cs="Arial"/>
                <w:b/>
                <w:bCs/>
                <w:lang w:val="ru-RU"/>
              </w:rPr>
            </w:pPr>
            <w:r w:rsidRPr="00B92975">
              <w:rPr>
                <w:rFonts w:cs="Arial"/>
                <w:b/>
                <w:bCs/>
                <w:lang w:val="mk-MK"/>
              </w:rPr>
              <w:t>Сектор за внатрешна ревизија</w:t>
            </w:r>
          </w:p>
          <w:p w14:paraId="4C9A27BA" w14:textId="7A70B0AE" w:rsidR="009D69E6" w:rsidRPr="00B92975" w:rsidRDefault="009D69E6" w:rsidP="004D0DBC">
            <w:pPr>
              <w:pStyle w:val="BodyText2"/>
              <w:spacing w:before="240"/>
              <w:ind w:left="709" w:hanging="709"/>
              <w:jc w:val="left"/>
              <w:rPr>
                <w:rFonts w:ascii="Arial" w:hAnsi="Arial" w:cs="Arial"/>
                <w:b/>
                <w:bCs/>
                <w:sz w:val="20"/>
                <w:lang w:val="mk-MK"/>
              </w:rPr>
            </w:pPr>
            <w:r w:rsidRPr="00B92975">
              <w:rPr>
                <w:rFonts w:ascii="Arial" w:hAnsi="Arial" w:cs="Arial"/>
                <w:b/>
                <w:bCs/>
                <w:sz w:val="20"/>
                <w:lang w:val="mk-MK"/>
              </w:rPr>
              <w:t>Центар за групациски функции</w:t>
            </w:r>
          </w:p>
          <w:p w14:paraId="4D0A4DFC" w14:textId="77777777" w:rsidR="009D69E6" w:rsidRPr="00B92975" w:rsidRDefault="009D69E6" w:rsidP="009D69E6">
            <w:pPr>
              <w:spacing w:before="240"/>
              <w:rPr>
                <w:rFonts w:cs="Arial"/>
                <w:b/>
                <w:lang w:val="mk-MK"/>
              </w:rPr>
            </w:pPr>
            <w:r w:rsidRPr="00B92975">
              <w:rPr>
                <w:rFonts w:cs="Arial"/>
                <w:b/>
                <w:lang w:val="mk-MK"/>
              </w:rPr>
              <w:t>Центар за усогласување со прописите и интегритет</w:t>
            </w:r>
          </w:p>
          <w:p w14:paraId="125D628C" w14:textId="6AC6182B" w:rsidR="004D0DBC" w:rsidRPr="00B92975" w:rsidRDefault="004D0DBC" w:rsidP="004D0DBC">
            <w:pPr>
              <w:pStyle w:val="BodyText2"/>
              <w:spacing w:before="240"/>
              <w:ind w:left="709" w:hanging="709"/>
              <w:jc w:val="left"/>
              <w:rPr>
                <w:rFonts w:ascii="Arial" w:hAnsi="Arial" w:cs="Arial"/>
                <w:b/>
                <w:bCs/>
                <w:sz w:val="20"/>
                <w:szCs w:val="20"/>
                <w:lang w:val="mk-MK"/>
              </w:rPr>
            </w:pPr>
            <w:r w:rsidRPr="00B92975">
              <w:rPr>
                <w:rFonts w:ascii="Arial" w:hAnsi="Arial" w:cs="Arial"/>
                <w:b/>
                <w:bCs/>
                <w:sz w:val="20"/>
                <w:lang w:val="mk-MK"/>
              </w:rPr>
              <w:t>Сектор за правни работи и секретаријат</w:t>
            </w:r>
          </w:p>
          <w:p w14:paraId="239A54A0" w14:textId="77777777" w:rsidR="004D0DBC" w:rsidRPr="00B92975" w:rsidRDefault="004D0DBC" w:rsidP="004D0DBC">
            <w:pPr>
              <w:pStyle w:val="BodyText"/>
              <w:spacing w:after="0"/>
              <w:rPr>
                <w:rFonts w:eastAsia="Calibri" w:cs="Arial"/>
                <w:lang w:eastAsia="mk-MK"/>
              </w:rPr>
            </w:pPr>
            <w:r w:rsidRPr="00B92975">
              <w:rPr>
                <w:rFonts w:eastAsia="Calibri" w:cs="Arial"/>
                <w:lang w:eastAsia="mk-MK"/>
              </w:rPr>
              <w:t xml:space="preserve">Служба за правен консалтинг </w:t>
            </w:r>
          </w:p>
          <w:p w14:paraId="7CA4AC76" w14:textId="77777777" w:rsidR="004D0DBC" w:rsidRPr="00B92975" w:rsidRDefault="004D0DBC" w:rsidP="004D0DBC">
            <w:pPr>
              <w:jc w:val="both"/>
              <w:rPr>
                <w:rFonts w:cs="Arial"/>
                <w:lang w:val="mk-MK"/>
              </w:rPr>
            </w:pPr>
            <w:r w:rsidRPr="00B92975">
              <w:rPr>
                <w:rFonts w:cs="Arial"/>
                <w:lang w:val="mk-MK"/>
              </w:rPr>
              <w:t>Секретаријат</w:t>
            </w:r>
          </w:p>
          <w:p w14:paraId="486DE9C2" w14:textId="77777777" w:rsidR="009D69E6" w:rsidRPr="00B92975" w:rsidRDefault="009D69E6" w:rsidP="009D69E6">
            <w:pPr>
              <w:spacing w:before="240"/>
              <w:rPr>
                <w:rFonts w:cs="Arial"/>
                <w:b/>
                <w:lang w:val="mk-MK"/>
              </w:rPr>
            </w:pPr>
            <w:r w:rsidRPr="00B92975">
              <w:rPr>
                <w:rFonts w:cs="Arial"/>
                <w:b/>
                <w:lang w:val="mk-MK"/>
              </w:rPr>
              <w:t>Сектор за човечки ресурси и организација</w:t>
            </w:r>
          </w:p>
          <w:p w14:paraId="3BAD936A" w14:textId="77777777" w:rsidR="009D69E6" w:rsidRPr="00B92975" w:rsidRDefault="009D69E6" w:rsidP="009D69E6">
            <w:pPr>
              <w:rPr>
                <w:rFonts w:cs="Arial"/>
                <w:bCs/>
                <w:lang w:val="mk-MK"/>
              </w:rPr>
            </w:pPr>
            <w:r w:rsidRPr="00B92975">
              <w:rPr>
                <w:rFonts w:cs="Arial"/>
                <w:bCs/>
                <w:lang w:val="mk-MK"/>
              </w:rPr>
              <w:t xml:space="preserve">Служба за управување со човечки ресурси </w:t>
            </w:r>
          </w:p>
          <w:p w14:paraId="0CFD1E7B" w14:textId="77777777" w:rsidR="009D69E6" w:rsidRPr="00B92975" w:rsidRDefault="009D69E6" w:rsidP="009D69E6">
            <w:pPr>
              <w:rPr>
                <w:rFonts w:cs="Arial"/>
                <w:bCs/>
                <w:lang w:val="mk-MK"/>
              </w:rPr>
            </w:pPr>
            <w:r w:rsidRPr="00B92975">
              <w:rPr>
                <w:rFonts w:cs="Arial"/>
                <w:bCs/>
                <w:lang w:val="mk-MK"/>
              </w:rPr>
              <w:t>Служба за организација и управување со деловни процеси</w:t>
            </w:r>
          </w:p>
          <w:p w14:paraId="0E6B2CE1" w14:textId="77777777" w:rsidR="008A4443" w:rsidRPr="00B92975" w:rsidRDefault="008A4443" w:rsidP="004D0DBC">
            <w:pPr>
              <w:jc w:val="both"/>
              <w:rPr>
                <w:rFonts w:cs="Arial"/>
                <w:lang w:val="mk-MK"/>
              </w:rPr>
            </w:pPr>
          </w:p>
          <w:p w14:paraId="5479369C" w14:textId="77777777" w:rsidR="004D0DBC" w:rsidRPr="00B92975" w:rsidRDefault="004D0DBC" w:rsidP="004D0DBC">
            <w:pPr>
              <w:keepNext/>
              <w:jc w:val="both"/>
              <w:rPr>
                <w:rFonts w:cs="Arial"/>
                <w:b/>
                <w:bCs/>
                <w:lang w:val="ru-RU"/>
              </w:rPr>
            </w:pPr>
            <w:r w:rsidRPr="00B92975">
              <w:rPr>
                <w:rFonts w:cs="Arial"/>
                <w:b/>
                <w:bCs/>
                <w:lang w:val="mk-MK"/>
              </w:rPr>
              <w:t>Сектор</w:t>
            </w:r>
            <w:r w:rsidRPr="00B92975">
              <w:rPr>
                <w:rFonts w:cs="Arial"/>
                <w:b/>
                <w:bCs/>
                <w:lang w:val="en-US"/>
              </w:rPr>
              <w:t xml:space="preserve"> </w:t>
            </w:r>
            <w:r w:rsidRPr="00B92975">
              <w:rPr>
                <w:rFonts w:cs="Arial"/>
                <w:b/>
                <w:bCs/>
                <w:lang w:val="mk-MK"/>
              </w:rPr>
              <w:t>за</w:t>
            </w:r>
            <w:r w:rsidRPr="00B92975">
              <w:rPr>
                <w:rFonts w:cs="Arial"/>
                <w:b/>
                <w:bCs/>
                <w:lang w:val="en-US"/>
              </w:rPr>
              <w:t xml:space="preserve"> </w:t>
            </w:r>
            <w:r w:rsidRPr="00B92975">
              <w:rPr>
                <w:rFonts w:cs="Arial"/>
                <w:b/>
                <w:bCs/>
                <w:lang w:val="mk-MK"/>
              </w:rPr>
              <w:t>финансиско управување</w:t>
            </w:r>
          </w:p>
          <w:p w14:paraId="4930CF5F" w14:textId="77777777" w:rsidR="004D0DBC" w:rsidRPr="00B92975" w:rsidRDefault="004D0DBC" w:rsidP="004D0DBC">
            <w:pPr>
              <w:rPr>
                <w:rFonts w:cs="Arial"/>
                <w:lang w:val="mk-MK"/>
              </w:rPr>
            </w:pPr>
            <w:r w:rsidRPr="00B92975">
              <w:rPr>
                <w:rFonts w:cs="Arial"/>
                <w:lang w:val="mk-MK"/>
              </w:rPr>
              <w:t>Служба</w:t>
            </w:r>
            <w:r w:rsidRPr="00B92975">
              <w:rPr>
                <w:rFonts w:cs="Arial"/>
                <w:lang w:val="en-US"/>
              </w:rPr>
              <w:t xml:space="preserve"> </w:t>
            </w:r>
            <w:r w:rsidRPr="00B92975">
              <w:rPr>
                <w:rFonts w:cs="Arial"/>
                <w:lang w:val="mk-MK"/>
              </w:rPr>
              <w:t>за</w:t>
            </w:r>
            <w:r w:rsidRPr="00B92975">
              <w:rPr>
                <w:rFonts w:cs="Arial"/>
                <w:lang w:val="en-US"/>
              </w:rPr>
              <w:t xml:space="preserve"> </w:t>
            </w:r>
            <w:r w:rsidRPr="00B92975">
              <w:rPr>
                <w:rFonts w:cs="Arial"/>
                <w:lang w:val="mk-MK"/>
              </w:rPr>
              <w:t>финансиска</w:t>
            </w:r>
            <w:r w:rsidRPr="00B92975">
              <w:rPr>
                <w:rFonts w:cs="Arial"/>
                <w:lang w:val="en-US"/>
              </w:rPr>
              <w:t xml:space="preserve"> </w:t>
            </w:r>
            <w:r w:rsidRPr="00B92975">
              <w:rPr>
                <w:rFonts w:cs="Arial"/>
                <w:lang w:val="mk-MK"/>
              </w:rPr>
              <w:t>оператива</w:t>
            </w:r>
          </w:p>
          <w:p w14:paraId="51308171" w14:textId="77777777" w:rsidR="008A4443" w:rsidRPr="00B92975" w:rsidRDefault="008A4443" w:rsidP="008A4443">
            <w:pPr>
              <w:rPr>
                <w:rFonts w:cs="Arial"/>
                <w:lang w:val="mk-MK"/>
              </w:rPr>
            </w:pPr>
            <w:r w:rsidRPr="00B92975">
              <w:rPr>
                <w:rFonts w:cs="Arial"/>
                <w:lang w:val="mk-MK"/>
              </w:rPr>
              <w:lastRenderedPageBreak/>
              <w:t>Служба за</w:t>
            </w:r>
            <w:r w:rsidRPr="00B92975">
              <w:rPr>
                <w:rFonts w:cs="Arial"/>
                <w:lang w:val="en-US"/>
              </w:rPr>
              <w:t xml:space="preserve"> </w:t>
            </w:r>
            <w:r w:rsidRPr="00B92975">
              <w:rPr>
                <w:rFonts w:cs="Arial"/>
                <w:lang w:val="mk-MK"/>
              </w:rPr>
              <w:t>стратешко планирање и финансиски контролинг</w:t>
            </w:r>
          </w:p>
          <w:p w14:paraId="70903B09" w14:textId="77777777" w:rsidR="004D0DBC" w:rsidRPr="00B92975" w:rsidRDefault="004D0DBC" w:rsidP="004D0DBC">
            <w:pPr>
              <w:ind w:left="742" w:hanging="742"/>
              <w:rPr>
                <w:rFonts w:cs="Arial"/>
              </w:rPr>
            </w:pPr>
            <w:r w:rsidRPr="00B92975">
              <w:rPr>
                <w:rFonts w:cs="Arial"/>
                <w:lang w:val="mk-MK"/>
              </w:rPr>
              <w:t>Служба</w:t>
            </w:r>
            <w:r w:rsidRPr="00B92975">
              <w:rPr>
                <w:rFonts w:cs="Arial"/>
                <w:lang w:val="en-US"/>
              </w:rPr>
              <w:t xml:space="preserve"> </w:t>
            </w:r>
            <w:r w:rsidRPr="00B92975">
              <w:rPr>
                <w:rFonts w:cs="Arial"/>
                <w:lang w:val="mk-MK"/>
              </w:rPr>
              <w:t>за</w:t>
            </w:r>
            <w:r w:rsidRPr="00B92975">
              <w:rPr>
                <w:rFonts w:cs="Arial"/>
                <w:lang w:val="en-US"/>
              </w:rPr>
              <w:t xml:space="preserve"> </w:t>
            </w:r>
            <w:r w:rsidRPr="00B92975">
              <w:rPr>
                <w:rFonts w:cs="Arial"/>
                <w:lang w:val="mk-MK"/>
              </w:rPr>
              <w:t>финансиско</w:t>
            </w:r>
            <w:r w:rsidRPr="00B92975">
              <w:rPr>
                <w:rFonts w:cs="Arial"/>
                <w:lang w:val="en-US"/>
              </w:rPr>
              <w:t xml:space="preserve"> </w:t>
            </w:r>
            <w:r w:rsidRPr="00B92975">
              <w:rPr>
                <w:rFonts w:cs="Arial"/>
                <w:lang w:val="mk-MK"/>
              </w:rPr>
              <w:t>сметководство</w:t>
            </w:r>
            <w:r w:rsidRPr="00B92975">
              <w:rPr>
                <w:rFonts w:cs="Arial"/>
                <w:lang w:val="en-US"/>
              </w:rPr>
              <w:t xml:space="preserve"> </w:t>
            </w:r>
            <w:r w:rsidRPr="00B92975">
              <w:rPr>
                <w:rFonts w:cs="Arial"/>
                <w:lang w:val="mk-MK"/>
              </w:rPr>
              <w:t>и</w:t>
            </w:r>
            <w:r w:rsidRPr="00B92975">
              <w:rPr>
                <w:rFonts w:cs="Arial"/>
                <w:lang w:val="en-US"/>
              </w:rPr>
              <w:t xml:space="preserve"> </w:t>
            </w:r>
            <w:r w:rsidRPr="00B92975">
              <w:rPr>
                <w:rFonts w:cs="Arial"/>
                <w:lang w:val="mk-MK"/>
              </w:rPr>
              <w:t>финансиско известување</w:t>
            </w:r>
          </w:p>
          <w:p w14:paraId="72E2957E" w14:textId="77777777" w:rsidR="004D0DBC" w:rsidRPr="00B92975" w:rsidRDefault="004D0DBC" w:rsidP="004D0DBC">
            <w:pPr>
              <w:pStyle w:val="BodyText3"/>
              <w:spacing w:before="240" w:after="0"/>
              <w:rPr>
                <w:rFonts w:cs="Arial"/>
                <w:b/>
                <w:sz w:val="20"/>
                <w:szCs w:val="20"/>
                <w:lang w:val="mk-MK"/>
              </w:rPr>
            </w:pPr>
            <w:r w:rsidRPr="00B92975">
              <w:rPr>
                <w:rFonts w:cs="Arial"/>
                <w:b/>
                <w:sz w:val="20"/>
                <w:szCs w:val="20"/>
                <w:lang w:val="mk-MK"/>
              </w:rPr>
              <w:t>Деловен</w:t>
            </w:r>
            <w:r w:rsidRPr="00B92975">
              <w:rPr>
                <w:rFonts w:cs="Arial"/>
                <w:b/>
                <w:sz w:val="20"/>
                <w:szCs w:val="20"/>
                <w:lang w:val="en-US"/>
              </w:rPr>
              <w:t xml:space="preserve"> </w:t>
            </w:r>
            <w:r w:rsidRPr="00B92975">
              <w:rPr>
                <w:rFonts w:cs="Arial"/>
                <w:b/>
                <w:sz w:val="20"/>
                <w:szCs w:val="20"/>
                <w:lang w:val="mk-MK"/>
              </w:rPr>
              <w:t>сектор</w:t>
            </w:r>
            <w:r w:rsidRPr="00B92975">
              <w:rPr>
                <w:rFonts w:cs="Arial"/>
                <w:b/>
                <w:sz w:val="20"/>
                <w:szCs w:val="20"/>
                <w:lang w:val="en-US"/>
              </w:rPr>
              <w:t xml:space="preserve"> </w:t>
            </w:r>
            <w:r w:rsidRPr="00B92975">
              <w:rPr>
                <w:rFonts w:cs="Arial"/>
                <w:b/>
                <w:sz w:val="20"/>
                <w:szCs w:val="20"/>
                <w:lang w:val="mk-MK"/>
              </w:rPr>
              <w:t>за</w:t>
            </w:r>
            <w:r w:rsidRPr="00B92975">
              <w:rPr>
                <w:rFonts w:cs="Arial"/>
                <w:b/>
                <w:sz w:val="20"/>
                <w:szCs w:val="20"/>
                <w:lang w:val="en-US"/>
              </w:rPr>
              <w:t xml:space="preserve"> </w:t>
            </w:r>
            <w:r w:rsidRPr="00B92975">
              <w:rPr>
                <w:rFonts w:cs="Arial"/>
                <w:b/>
                <w:sz w:val="20"/>
                <w:szCs w:val="20"/>
                <w:lang w:val="mk-MK"/>
              </w:rPr>
              <w:t>финансиски пазари и</w:t>
            </w:r>
            <w:r w:rsidRPr="00B92975">
              <w:rPr>
                <w:rFonts w:cs="Arial"/>
                <w:b/>
                <w:sz w:val="20"/>
                <w:szCs w:val="20"/>
                <w:lang w:val="en-US"/>
              </w:rPr>
              <w:t xml:space="preserve"> </w:t>
            </w:r>
            <w:r w:rsidRPr="00B92975">
              <w:rPr>
                <w:rFonts w:cs="Arial"/>
                <w:b/>
                <w:sz w:val="20"/>
                <w:szCs w:val="20"/>
                <w:lang w:val="mk-MK"/>
              </w:rPr>
              <w:t>средства</w:t>
            </w:r>
          </w:p>
          <w:p w14:paraId="798E037F" w14:textId="77777777" w:rsidR="004D0DBC" w:rsidRPr="00B92975" w:rsidRDefault="004D0DBC" w:rsidP="004D0DBC">
            <w:pPr>
              <w:pStyle w:val="BodyText"/>
              <w:spacing w:after="0"/>
              <w:rPr>
                <w:rFonts w:cs="Arial"/>
                <w:bCs/>
                <w:lang w:val="ru-RU"/>
              </w:rPr>
            </w:pPr>
            <w:r w:rsidRPr="00B92975">
              <w:rPr>
                <w:rFonts w:cs="Arial"/>
                <w:bCs/>
              </w:rPr>
              <w:t>Служба за управување со билансите на Банката</w:t>
            </w:r>
          </w:p>
          <w:p w14:paraId="582921BC" w14:textId="77777777" w:rsidR="004D0DBC" w:rsidRPr="00B92975" w:rsidRDefault="004D0DBC" w:rsidP="004D0DBC">
            <w:pPr>
              <w:pStyle w:val="BodyText"/>
              <w:spacing w:after="0"/>
              <w:rPr>
                <w:rFonts w:cs="Arial"/>
                <w:bCs/>
                <w:lang w:val="ru-RU"/>
              </w:rPr>
            </w:pPr>
            <w:r w:rsidRPr="00B92975">
              <w:rPr>
                <w:rFonts w:cs="Arial"/>
                <w:bCs/>
              </w:rPr>
              <w:t xml:space="preserve">Служба за старателство </w:t>
            </w:r>
          </w:p>
          <w:p w14:paraId="3D001A37" w14:textId="77777777" w:rsidR="004D0DBC" w:rsidRPr="00B92975" w:rsidRDefault="004D0DBC" w:rsidP="004D0DBC">
            <w:pPr>
              <w:pStyle w:val="BodyText"/>
              <w:spacing w:after="0"/>
              <w:ind w:left="742" w:hanging="742"/>
              <w:rPr>
                <w:rFonts w:cs="Arial"/>
                <w:bCs/>
              </w:rPr>
            </w:pPr>
            <w:r w:rsidRPr="00B92975">
              <w:rPr>
                <w:rFonts w:cs="Arial"/>
                <w:bCs/>
              </w:rPr>
              <w:t>Служба за тргување со средства и изведени финансиски инструменти</w:t>
            </w:r>
          </w:p>
          <w:p w14:paraId="47FA7F8E" w14:textId="77777777" w:rsidR="004D0DBC" w:rsidRPr="00B92975" w:rsidRDefault="004D0DBC" w:rsidP="004D0DBC">
            <w:pPr>
              <w:pStyle w:val="BodyText"/>
              <w:spacing w:after="0"/>
              <w:rPr>
                <w:rFonts w:cs="Arial"/>
                <w:bCs/>
              </w:rPr>
            </w:pPr>
            <w:r w:rsidRPr="00B92975">
              <w:rPr>
                <w:rFonts w:cs="Arial"/>
                <w:bCs/>
              </w:rPr>
              <w:t>Служба за услуги со хартии од вредност</w:t>
            </w:r>
          </w:p>
          <w:p w14:paraId="6FFC40AD" w14:textId="77777777" w:rsidR="004D0DBC" w:rsidRPr="00B92975" w:rsidRDefault="004D0DBC" w:rsidP="004D0DBC">
            <w:pPr>
              <w:pStyle w:val="BodyText"/>
              <w:spacing w:after="0"/>
              <w:rPr>
                <w:rFonts w:cs="Arial"/>
                <w:bCs/>
              </w:rPr>
            </w:pPr>
            <w:r w:rsidRPr="00B92975">
              <w:rPr>
                <w:rFonts w:eastAsia="Calibri" w:cs="Arial"/>
                <w:lang w:eastAsia="mk-MK"/>
              </w:rPr>
              <w:t>Служба за управување на односите со финансиските институции и меѓународно финансирање</w:t>
            </w:r>
          </w:p>
          <w:p w14:paraId="39F1A861" w14:textId="77777777" w:rsidR="004D0DBC" w:rsidRPr="00B92975" w:rsidRDefault="004D0DBC" w:rsidP="004D0DBC">
            <w:pPr>
              <w:pStyle w:val="BodyText2"/>
              <w:spacing w:before="240"/>
              <w:jc w:val="left"/>
              <w:rPr>
                <w:rFonts w:ascii="Arial" w:hAnsi="Arial" w:cs="Arial"/>
                <w:b/>
                <w:bCs/>
                <w:sz w:val="20"/>
                <w:szCs w:val="20"/>
                <w:lang w:val="mk-MK"/>
              </w:rPr>
            </w:pPr>
            <w:r w:rsidRPr="00B92975">
              <w:rPr>
                <w:rFonts w:ascii="Arial" w:hAnsi="Arial" w:cs="Arial"/>
                <w:b/>
                <w:bCs/>
                <w:sz w:val="20"/>
                <w:szCs w:val="20"/>
                <w:lang w:val="mk-MK"/>
              </w:rPr>
              <w:t>Сектор за работа со готовина и депо</w:t>
            </w:r>
          </w:p>
          <w:p w14:paraId="06D55234" w14:textId="77777777" w:rsidR="004D0DBC" w:rsidRPr="00B92975" w:rsidRDefault="004D0DBC" w:rsidP="004D0DBC">
            <w:pPr>
              <w:pStyle w:val="BodyText"/>
              <w:spacing w:after="0"/>
              <w:rPr>
                <w:rFonts w:cs="Arial"/>
              </w:rPr>
            </w:pPr>
            <w:r w:rsidRPr="00B92975">
              <w:rPr>
                <w:rFonts w:cs="Arial"/>
              </w:rPr>
              <w:t>Служба за трезорско работење, работа со готовина и депо</w:t>
            </w:r>
          </w:p>
          <w:p w14:paraId="40BF5AE0" w14:textId="77777777" w:rsidR="004D0DBC" w:rsidRPr="00B92975" w:rsidRDefault="004D0DBC" w:rsidP="004D0DBC">
            <w:pPr>
              <w:pStyle w:val="BodyText2"/>
              <w:jc w:val="left"/>
              <w:rPr>
                <w:rFonts w:ascii="Arial" w:hAnsi="Arial" w:cs="Arial"/>
                <w:sz w:val="20"/>
                <w:szCs w:val="20"/>
                <w:lang w:val="mk-MK"/>
              </w:rPr>
            </w:pPr>
            <w:r w:rsidRPr="00B92975">
              <w:rPr>
                <w:rFonts w:ascii="Arial" w:hAnsi="Arial" w:cs="Arial"/>
                <w:sz w:val="20"/>
                <w:szCs w:val="20"/>
                <w:lang w:val="mk-MK"/>
              </w:rPr>
              <w:t>Служба за обезбедување и транспорт на готовина</w:t>
            </w:r>
          </w:p>
          <w:p w14:paraId="080E0FE1" w14:textId="77777777" w:rsidR="004D0DBC" w:rsidRPr="00B92975" w:rsidRDefault="004D0DBC" w:rsidP="004D0DBC">
            <w:pPr>
              <w:pStyle w:val="BodyText2"/>
              <w:jc w:val="left"/>
              <w:rPr>
                <w:rFonts w:ascii="Arial" w:hAnsi="Arial" w:cs="Arial"/>
                <w:sz w:val="20"/>
                <w:szCs w:val="20"/>
                <w:lang w:val="mk-MK"/>
              </w:rPr>
            </w:pPr>
            <w:r w:rsidRPr="00B92975">
              <w:rPr>
                <w:rFonts w:ascii="Arial" w:hAnsi="Arial" w:cs="Arial"/>
                <w:sz w:val="20"/>
                <w:szCs w:val="20"/>
                <w:lang w:val="mk-MK"/>
              </w:rPr>
              <w:t>Служба за банкоматско работење</w:t>
            </w:r>
          </w:p>
          <w:p w14:paraId="0EE28686" w14:textId="77777777" w:rsidR="00251F14" w:rsidRPr="00B92975" w:rsidRDefault="00251F14" w:rsidP="004D0DBC">
            <w:pPr>
              <w:pStyle w:val="BodyText2"/>
              <w:jc w:val="left"/>
              <w:rPr>
                <w:rFonts w:ascii="Arial" w:hAnsi="Arial" w:cs="Arial"/>
                <w:sz w:val="20"/>
                <w:szCs w:val="20"/>
                <w:lang w:val="mk-MK"/>
              </w:rPr>
            </w:pPr>
          </w:p>
          <w:p w14:paraId="6FE6C686" w14:textId="59E81B97" w:rsidR="00251F14" w:rsidRPr="00B92975" w:rsidRDefault="00251F14" w:rsidP="00251F14">
            <w:pPr>
              <w:rPr>
                <w:rFonts w:cs="Arial"/>
              </w:rPr>
            </w:pPr>
            <w:r w:rsidRPr="00B92975">
              <w:rPr>
                <w:rFonts w:cs="Arial"/>
                <w:b/>
                <w:lang w:val="mk-MK"/>
              </w:rPr>
              <w:t xml:space="preserve">Сектор за реструктуирање и </w:t>
            </w:r>
            <w:r w:rsidRPr="00B92975">
              <w:rPr>
                <w:b/>
              </w:rPr>
              <w:t>управува</w:t>
            </w:r>
            <w:r w:rsidRPr="00B92975">
              <w:rPr>
                <w:b/>
                <w:lang w:val="mk-MK"/>
              </w:rPr>
              <w:t>њ</w:t>
            </w:r>
            <w:r w:rsidRPr="00B92975">
              <w:rPr>
                <w:b/>
              </w:rPr>
              <w:t>е со проблематични пласмани</w:t>
            </w:r>
          </w:p>
          <w:p w14:paraId="035B02E3" w14:textId="77777777" w:rsidR="00251F14" w:rsidRPr="00B92975" w:rsidRDefault="00251F14" w:rsidP="00251F14">
            <w:pPr>
              <w:tabs>
                <w:tab w:val="left" w:pos="0"/>
                <w:tab w:val="left" w:pos="142"/>
              </w:tabs>
              <w:rPr>
                <w:rFonts w:cs="Arial"/>
                <w:lang w:eastAsia="mk-MK"/>
              </w:rPr>
            </w:pPr>
            <w:r w:rsidRPr="00B92975">
              <w:rPr>
                <w:rFonts w:cs="Arial"/>
                <w:lang w:eastAsia="mk-MK"/>
              </w:rPr>
              <w:t xml:space="preserve">Служба за </w:t>
            </w:r>
            <w:r w:rsidRPr="00B92975">
              <w:rPr>
                <w:rFonts w:cs="Arial"/>
                <w:lang w:val="mk-MK" w:eastAsia="mk-MK"/>
              </w:rPr>
              <w:t xml:space="preserve">управување со </w:t>
            </w:r>
            <w:r w:rsidRPr="00B92975">
              <w:rPr>
                <w:rFonts w:cs="Arial"/>
                <w:lang w:eastAsia="mk-MK"/>
              </w:rPr>
              <w:t>проблематични пласмани и преземен имот</w:t>
            </w:r>
          </w:p>
          <w:p w14:paraId="558A69D9" w14:textId="77777777" w:rsidR="00251F14" w:rsidRPr="00B92975" w:rsidRDefault="00251F14" w:rsidP="00251F14">
            <w:pPr>
              <w:rPr>
                <w:rFonts w:cs="Arial"/>
                <w:lang w:eastAsia="mk-MK"/>
              </w:rPr>
            </w:pPr>
            <w:r w:rsidRPr="00B92975">
              <w:rPr>
                <w:rFonts w:cs="Arial"/>
                <w:lang w:val="mk-MK"/>
              </w:rPr>
              <w:t>Служба за присилна наплата</w:t>
            </w:r>
          </w:p>
          <w:p w14:paraId="3A0B8A31" w14:textId="77777777" w:rsidR="00251F14" w:rsidRPr="00B92975" w:rsidRDefault="00251F14" w:rsidP="00251F14">
            <w:pPr>
              <w:rPr>
                <w:rFonts w:cs="Arial"/>
                <w:lang w:val="mk-MK"/>
              </w:rPr>
            </w:pPr>
            <w:r w:rsidRPr="00B92975">
              <w:rPr>
                <w:rFonts w:cs="Arial"/>
              </w:rPr>
              <w:t xml:space="preserve">Служба за </w:t>
            </w:r>
            <w:r w:rsidRPr="00B92975">
              <w:rPr>
                <w:rFonts w:cs="Arial"/>
                <w:lang w:val="mk-MK"/>
              </w:rPr>
              <w:t>реструктуирање и рана наплата</w:t>
            </w:r>
          </w:p>
          <w:p w14:paraId="1E83EFAD" w14:textId="77777777" w:rsidR="004D0DBC" w:rsidRPr="00B92975" w:rsidRDefault="004D0DBC" w:rsidP="004D0DBC">
            <w:pPr>
              <w:rPr>
                <w:rFonts w:cs="Arial"/>
                <w:lang w:val="mk-MK"/>
              </w:rPr>
            </w:pPr>
          </w:p>
          <w:p w14:paraId="1F43F8EB" w14:textId="77777777" w:rsidR="000B7C52" w:rsidRPr="00B92975" w:rsidRDefault="000B7C52" w:rsidP="00C213C8">
            <w:pPr>
              <w:rPr>
                <w:rFonts w:cs="Arial"/>
                <w:b/>
                <w:bCs/>
                <w:lang w:val="mk-MK"/>
              </w:rPr>
            </w:pPr>
            <w:r w:rsidRPr="00B92975">
              <w:rPr>
                <w:rFonts w:cs="Arial"/>
                <w:b/>
                <w:bCs/>
                <w:lang w:val="mk-MK"/>
              </w:rPr>
              <w:t>Сектор за ризици, евалуација и контрола</w:t>
            </w:r>
          </w:p>
          <w:p w14:paraId="5B344B97" w14:textId="77777777" w:rsidR="000B7C52" w:rsidRPr="00B92975" w:rsidRDefault="000B7C52" w:rsidP="00C213C8">
            <w:pPr>
              <w:rPr>
                <w:rFonts w:cs="Arial"/>
              </w:rPr>
            </w:pPr>
            <w:r w:rsidRPr="00B92975">
              <w:rPr>
                <w:rFonts w:cs="Arial"/>
              </w:rPr>
              <w:t xml:space="preserve">Служба за управување со ризици </w:t>
            </w:r>
          </w:p>
          <w:p w14:paraId="042A9672" w14:textId="0044B61A" w:rsidR="00C213C8" w:rsidRPr="00B92975" w:rsidRDefault="000B7C52" w:rsidP="00C213C8">
            <w:pPr>
              <w:rPr>
                <w:rFonts w:cs="Arial"/>
                <w:b/>
                <w:bCs/>
              </w:rPr>
            </w:pPr>
            <w:r w:rsidRPr="00B92975">
              <w:rPr>
                <w:rFonts w:cs="Arial"/>
              </w:rPr>
              <w:t>Служба за евалуација и контрола</w:t>
            </w:r>
          </w:p>
          <w:p w14:paraId="4FFEF0BB" w14:textId="77777777" w:rsidR="000B7C52" w:rsidRPr="00B92975" w:rsidRDefault="000B7C52" w:rsidP="001160A3">
            <w:pPr>
              <w:rPr>
                <w:rFonts w:cs="Arial"/>
                <w:b/>
                <w:bCs/>
                <w:lang w:val="mk-MK"/>
              </w:rPr>
            </w:pPr>
          </w:p>
          <w:p w14:paraId="70DA44F0" w14:textId="217CE8E2" w:rsidR="00C213C8" w:rsidRPr="00B92975" w:rsidRDefault="00C213C8" w:rsidP="001160A3">
            <w:pPr>
              <w:rPr>
                <w:rFonts w:cs="Arial"/>
                <w:b/>
                <w:bCs/>
                <w:lang w:val="mk-MK"/>
              </w:rPr>
            </w:pPr>
            <w:r w:rsidRPr="00B92975">
              <w:rPr>
                <w:rFonts w:cs="Arial"/>
                <w:b/>
                <w:bCs/>
                <w:lang w:val="mk-MK"/>
              </w:rPr>
              <w:t>Сектор за кредитни ризици</w:t>
            </w:r>
          </w:p>
          <w:p w14:paraId="0093ADDE" w14:textId="34051B32" w:rsidR="00C213C8" w:rsidRPr="00B92975" w:rsidRDefault="00C213C8" w:rsidP="001160A3">
            <w:pPr>
              <w:rPr>
                <w:rFonts w:cs="Arial"/>
                <w:lang w:val="mk-MK"/>
              </w:rPr>
            </w:pPr>
            <w:r w:rsidRPr="00B92975">
              <w:rPr>
                <w:rFonts w:cs="Arial"/>
                <w:lang w:val="mk-MK"/>
              </w:rPr>
              <w:t>Служба за кредитни ризици за големи и средни претпријатија</w:t>
            </w:r>
          </w:p>
          <w:p w14:paraId="3C81C8BC" w14:textId="666BBD22" w:rsidR="00C213C8" w:rsidRPr="00B92975" w:rsidRDefault="00C213C8" w:rsidP="00C213C8">
            <w:pPr>
              <w:tabs>
                <w:tab w:val="left" w:pos="3458"/>
              </w:tabs>
              <w:spacing w:before="3" w:line="160" w:lineRule="exact"/>
              <w:rPr>
                <w:sz w:val="16"/>
                <w:szCs w:val="16"/>
              </w:rPr>
            </w:pPr>
            <w:r w:rsidRPr="00B92975">
              <w:rPr>
                <w:rFonts w:cs="Arial"/>
                <w:lang w:val="mk-MK"/>
              </w:rPr>
              <w:t>Служба за кредитни ризици за мали и микро претпријатија и физички лица</w:t>
            </w:r>
          </w:p>
          <w:p w14:paraId="7B991597" w14:textId="18D49498" w:rsidR="00C213C8" w:rsidRPr="00B92975" w:rsidRDefault="00C213C8" w:rsidP="004D0DBC">
            <w:pPr>
              <w:rPr>
                <w:rFonts w:cs="Arial"/>
                <w:lang w:val="mk-MK"/>
              </w:rPr>
            </w:pPr>
          </w:p>
          <w:p w14:paraId="3E1EDBD4" w14:textId="7A36F7B8" w:rsidR="00C213C8" w:rsidRPr="00B92975" w:rsidRDefault="00C213C8" w:rsidP="004D0DBC">
            <w:pPr>
              <w:rPr>
                <w:rFonts w:cs="Arial"/>
                <w:b/>
                <w:bCs/>
                <w:lang w:val="mk-MK"/>
              </w:rPr>
            </w:pPr>
            <w:r w:rsidRPr="00B92975">
              <w:rPr>
                <w:rFonts w:cs="Arial"/>
                <w:b/>
                <w:bCs/>
                <w:lang w:val="mk-MK"/>
              </w:rPr>
              <w:t xml:space="preserve">Сектор за поддршка на продажба на корпоративни клиенти </w:t>
            </w:r>
          </w:p>
          <w:p w14:paraId="14207F44" w14:textId="59D684B5" w:rsidR="00C213C8" w:rsidRPr="00B92975" w:rsidRDefault="00C213C8" w:rsidP="00C213C8">
            <w:pPr>
              <w:pStyle w:val="BodyText"/>
              <w:spacing w:after="0"/>
              <w:ind w:left="742" w:hanging="742"/>
              <w:rPr>
                <w:rFonts w:cs="Arial"/>
                <w:lang w:val="mk-MK"/>
              </w:rPr>
            </w:pPr>
            <w:r w:rsidRPr="00B92975">
              <w:rPr>
                <w:rFonts w:cs="Arial"/>
                <w:lang w:val="mk-MK"/>
              </w:rPr>
              <w:t>Служба за поддршка на продажба</w:t>
            </w:r>
          </w:p>
          <w:p w14:paraId="298851F0" w14:textId="37781092" w:rsidR="00C213C8" w:rsidRPr="00B92975" w:rsidRDefault="00C213C8" w:rsidP="00C213C8">
            <w:pPr>
              <w:pStyle w:val="BodyText"/>
              <w:spacing w:after="0"/>
              <w:ind w:left="742" w:hanging="742"/>
              <w:rPr>
                <w:rFonts w:cs="Arial"/>
              </w:rPr>
            </w:pPr>
            <w:r w:rsidRPr="00B92975">
              <w:rPr>
                <w:rFonts w:cs="Arial"/>
              </w:rPr>
              <w:t>Служба за документарно работење</w:t>
            </w:r>
          </w:p>
          <w:p w14:paraId="1FF9764B" w14:textId="77777777" w:rsidR="000B7C52" w:rsidRPr="00B92975" w:rsidRDefault="000B7C52" w:rsidP="004D0DBC">
            <w:pPr>
              <w:rPr>
                <w:rFonts w:cs="Arial"/>
                <w:b/>
                <w:lang w:val="mk-MK"/>
              </w:rPr>
            </w:pPr>
          </w:p>
          <w:p w14:paraId="46C65340" w14:textId="02660C7B" w:rsidR="004D0DBC" w:rsidRPr="00B92975" w:rsidRDefault="004D0DBC" w:rsidP="004D0DBC">
            <w:pPr>
              <w:rPr>
                <w:rFonts w:cs="Arial"/>
                <w:b/>
                <w:lang w:val="mk-MK"/>
              </w:rPr>
            </w:pPr>
            <w:r w:rsidRPr="00B92975">
              <w:rPr>
                <w:rFonts w:cs="Arial"/>
                <w:b/>
                <w:lang w:val="mk-MK"/>
              </w:rPr>
              <w:t>Сектор за развој на понуда и маркетинг</w:t>
            </w:r>
          </w:p>
          <w:p w14:paraId="417494B8" w14:textId="5871EE39" w:rsidR="004D0DBC" w:rsidRPr="00B92975" w:rsidRDefault="004D0DBC" w:rsidP="004D0DBC">
            <w:pPr>
              <w:rPr>
                <w:rFonts w:cs="Arial"/>
                <w:lang w:val="mk-MK"/>
              </w:rPr>
            </w:pPr>
            <w:r w:rsidRPr="00B92975">
              <w:rPr>
                <w:rFonts w:cs="Arial"/>
                <w:lang w:val="mk-MK"/>
              </w:rPr>
              <w:t xml:space="preserve">Служба за развој на продукти, </w:t>
            </w:r>
            <w:r w:rsidR="00C213C8" w:rsidRPr="00B92975">
              <w:rPr>
                <w:rFonts w:cs="Arial"/>
                <w:lang w:val="mk-MK"/>
              </w:rPr>
              <w:t>услуги и канали на продажба</w:t>
            </w:r>
          </w:p>
          <w:p w14:paraId="3883AD77" w14:textId="7F860C0D" w:rsidR="00251F14" w:rsidRPr="00B92975" w:rsidRDefault="00251F14" w:rsidP="004D0DBC">
            <w:pPr>
              <w:rPr>
                <w:rFonts w:cs="Arial"/>
                <w:lang w:val="mk-MK"/>
              </w:rPr>
            </w:pPr>
            <w:r w:rsidRPr="00B92975">
              <w:rPr>
                <w:rFonts w:cs="Arial"/>
                <w:lang w:val="mk-MK"/>
              </w:rPr>
              <w:t>Служба за продажба по останати канали</w:t>
            </w:r>
          </w:p>
          <w:p w14:paraId="307A2D50" w14:textId="25CCD89A" w:rsidR="004D0DBC" w:rsidRPr="00B92975" w:rsidRDefault="00C213C8" w:rsidP="004D0DBC">
            <w:pPr>
              <w:rPr>
                <w:rFonts w:cs="Arial"/>
                <w:lang w:val="mk-MK"/>
              </w:rPr>
            </w:pPr>
            <w:r w:rsidRPr="00B92975">
              <w:rPr>
                <w:rFonts w:cs="Arial"/>
                <w:lang w:val="mk-MK"/>
              </w:rPr>
              <w:t xml:space="preserve">Служба за стратешки маркетинг, односи со клиенти и комуникации </w:t>
            </w:r>
          </w:p>
          <w:p w14:paraId="70357538" w14:textId="77777777" w:rsidR="00332ABD" w:rsidRPr="00B92975" w:rsidRDefault="00332ABD" w:rsidP="00332ABD">
            <w:pPr>
              <w:pStyle w:val="BodyText2"/>
              <w:spacing w:before="240"/>
              <w:jc w:val="left"/>
              <w:rPr>
                <w:rFonts w:ascii="Arial" w:hAnsi="Arial" w:cs="Arial"/>
                <w:b/>
                <w:bCs/>
                <w:noProof/>
                <w:sz w:val="20"/>
                <w:szCs w:val="20"/>
                <w:lang w:val="mk-MK"/>
              </w:rPr>
            </w:pPr>
            <w:r w:rsidRPr="00B92975">
              <w:rPr>
                <w:rFonts w:ascii="Arial" w:hAnsi="Arial" w:cs="Arial"/>
                <w:b/>
                <w:bCs/>
                <w:noProof/>
                <w:sz w:val="20"/>
                <w:szCs w:val="20"/>
                <w:lang w:val="mk-MK"/>
              </w:rPr>
              <w:t>Деловен сектор</w:t>
            </w:r>
            <w:r w:rsidRPr="00B92975">
              <w:rPr>
                <w:rFonts w:ascii="Arial" w:hAnsi="Arial" w:cs="Arial"/>
                <w:b/>
                <w:bCs/>
                <w:noProof/>
                <w:sz w:val="20"/>
                <w:szCs w:val="20"/>
                <w:lang w:val="en-GB"/>
              </w:rPr>
              <w:t xml:space="preserve"> </w:t>
            </w:r>
            <w:r w:rsidRPr="00B92975">
              <w:rPr>
                <w:rFonts w:ascii="Arial" w:hAnsi="Arial" w:cs="Arial"/>
                <w:b/>
                <w:bCs/>
                <w:noProof/>
                <w:sz w:val="20"/>
                <w:szCs w:val="20"/>
                <w:lang w:val="mk-MK"/>
              </w:rPr>
              <w:t>за управување со продажна мрежа</w:t>
            </w:r>
          </w:p>
          <w:p w14:paraId="4DDEE82B" w14:textId="77777777" w:rsidR="00332ABD" w:rsidRPr="00B92975" w:rsidRDefault="00332ABD" w:rsidP="00332ABD">
            <w:pPr>
              <w:pStyle w:val="BodyText"/>
              <w:spacing w:after="0"/>
              <w:rPr>
                <w:rFonts w:cs="Arial"/>
                <w:lang w:val="mk-MK"/>
              </w:rPr>
            </w:pPr>
            <w:r w:rsidRPr="00B92975">
              <w:rPr>
                <w:rFonts w:cs="Arial"/>
              </w:rPr>
              <w:t xml:space="preserve">Служба за </w:t>
            </w:r>
            <w:r w:rsidRPr="00B92975">
              <w:rPr>
                <w:rFonts w:cs="Arial"/>
                <w:lang w:val="mk-MK"/>
              </w:rPr>
              <w:t>поддршка на продажба на физички лица</w:t>
            </w:r>
          </w:p>
          <w:p w14:paraId="7B7D9927" w14:textId="77777777" w:rsidR="00332ABD" w:rsidRPr="00B92975" w:rsidRDefault="00332ABD" w:rsidP="00332ABD">
            <w:pPr>
              <w:pStyle w:val="BodyText"/>
              <w:spacing w:after="0"/>
              <w:rPr>
                <w:rFonts w:cs="Arial"/>
              </w:rPr>
            </w:pPr>
            <w:r w:rsidRPr="00B92975">
              <w:rPr>
                <w:rFonts w:cs="Arial"/>
              </w:rPr>
              <w:t>Експозитури</w:t>
            </w:r>
          </w:p>
          <w:p w14:paraId="1C695DB6" w14:textId="77777777" w:rsidR="00332ABD" w:rsidRPr="00B92975" w:rsidRDefault="00332ABD" w:rsidP="00332ABD">
            <w:pPr>
              <w:pStyle w:val="BodyText"/>
              <w:spacing w:after="0"/>
              <w:rPr>
                <w:rFonts w:cs="Arial"/>
                <w:lang w:val="mk-MK"/>
              </w:rPr>
            </w:pPr>
            <w:r w:rsidRPr="00B92975">
              <w:rPr>
                <w:rFonts w:cs="Arial"/>
                <w:lang w:val="mk-MK"/>
              </w:rPr>
              <w:t>Контакт центар</w:t>
            </w:r>
          </w:p>
          <w:p w14:paraId="74010B45" w14:textId="77777777" w:rsidR="00332ABD" w:rsidRPr="00B92975" w:rsidRDefault="00332ABD" w:rsidP="00332ABD">
            <w:pPr>
              <w:pStyle w:val="BodyText2"/>
              <w:spacing w:before="240"/>
              <w:ind w:left="718" w:hanging="718"/>
              <w:jc w:val="left"/>
              <w:rPr>
                <w:rFonts w:ascii="Arial" w:hAnsi="Arial" w:cs="Arial"/>
                <w:b/>
                <w:bCs/>
                <w:noProof/>
                <w:sz w:val="20"/>
                <w:szCs w:val="20"/>
                <w:lang w:val="mk-MK"/>
              </w:rPr>
            </w:pPr>
            <w:r w:rsidRPr="00B92975">
              <w:rPr>
                <w:rFonts w:ascii="Arial" w:hAnsi="Arial" w:cs="Arial"/>
                <w:b/>
                <w:bCs/>
                <w:noProof/>
                <w:sz w:val="20"/>
                <w:szCs w:val="20"/>
                <w:lang w:val="mk-MK"/>
              </w:rPr>
              <w:t>Деловен сектор за работа со корпоративни клиенти</w:t>
            </w:r>
          </w:p>
          <w:p w14:paraId="671A543E" w14:textId="77777777" w:rsidR="00332ABD" w:rsidRPr="00B92975" w:rsidRDefault="00332ABD" w:rsidP="00332ABD">
            <w:pPr>
              <w:pStyle w:val="BodyText"/>
              <w:spacing w:after="0"/>
              <w:ind w:left="720" w:hanging="720"/>
              <w:rPr>
                <w:rFonts w:cs="Arial"/>
                <w:noProof/>
                <w:lang w:val="mk-MK"/>
              </w:rPr>
            </w:pPr>
            <w:r w:rsidRPr="00B92975">
              <w:rPr>
                <w:rFonts w:cs="Arial"/>
                <w:noProof/>
                <w:lang w:val="mk-MK"/>
              </w:rPr>
              <w:t>Служба за големи претпријатија</w:t>
            </w:r>
          </w:p>
          <w:p w14:paraId="781ECA3A" w14:textId="77777777" w:rsidR="00332ABD" w:rsidRPr="00B92975" w:rsidRDefault="00332ABD" w:rsidP="00332ABD">
            <w:pPr>
              <w:pStyle w:val="BodyText"/>
              <w:spacing w:after="0"/>
              <w:ind w:left="720" w:hanging="720"/>
              <w:rPr>
                <w:rFonts w:cs="Arial"/>
                <w:noProof/>
                <w:lang w:val="mk-MK"/>
              </w:rPr>
            </w:pPr>
            <w:r w:rsidRPr="00B92975">
              <w:rPr>
                <w:rFonts w:cs="Arial"/>
                <w:noProof/>
                <w:lang w:val="mk-MK"/>
              </w:rPr>
              <w:t>Служба за мали и средни претпријатија</w:t>
            </w:r>
          </w:p>
          <w:p w14:paraId="50410F00" w14:textId="77777777" w:rsidR="00332ABD" w:rsidRPr="00B92975" w:rsidRDefault="00332ABD" w:rsidP="00332ABD">
            <w:pPr>
              <w:pStyle w:val="BodyText"/>
              <w:spacing w:after="0"/>
              <w:ind w:left="720" w:hanging="720"/>
              <w:rPr>
                <w:rFonts w:cs="Arial"/>
                <w:noProof/>
                <w:lang w:val="mk-MK"/>
              </w:rPr>
            </w:pPr>
          </w:p>
          <w:p w14:paraId="6AE95D9F" w14:textId="77777777" w:rsidR="00332ABD" w:rsidRPr="00B92975" w:rsidRDefault="00332ABD" w:rsidP="00332ABD">
            <w:pPr>
              <w:pStyle w:val="BodyText"/>
              <w:spacing w:after="0"/>
              <w:ind w:left="720" w:hanging="720"/>
              <w:rPr>
                <w:rFonts w:cs="Arial"/>
                <w:noProof/>
                <w:lang w:val="en-GB"/>
              </w:rPr>
            </w:pPr>
            <w:r w:rsidRPr="00B92975">
              <w:rPr>
                <w:rFonts w:cs="Arial"/>
                <w:noProof/>
                <w:lang w:val="mk-MK"/>
              </w:rPr>
              <w:t>Служба за микро претпријатија</w:t>
            </w:r>
          </w:p>
          <w:p w14:paraId="42714CEE" w14:textId="673064ED" w:rsidR="00332ABD" w:rsidRPr="00B92975" w:rsidRDefault="00332ABD" w:rsidP="00332ABD">
            <w:pPr>
              <w:pStyle w:val="BodyText2"/>
              <w:spacing w:before="240"/>
              <w:jc w:val="left"/>
              <w:rPr>
                <w:rFonts w:ascii="Arial" w:hAnsi="Arial" w:cs="Arial"/>
                <w:b/>
                <w:bCs/>
                <w:sz w:val="20"/>
                <w:szCs w:val="20"/>
                <w:lang w:val="ru-RU"/>
              </w:rPr>
            </w:pPr>
            <w:r w:rsidRPr="00B92975">
              <w:rPr>
                <w:rFonts w:ascii="Arial" w:hAnsi="Arial" w:cs="Arial"/>
                <w:b/>
                <w:bCs/>
                <w:sz w:val="20"/>
                <w:szCs w:val="20"/>
                <w:lang w:val="mk-MK"/>
              </w:rPr>
              <w:t>Сектор</w:t>
            </w:r>
            <w:r w:rsidRPr="00B92975">
              <w:rPr>
                <w:rFonts w:ascii="Arial" w:hAnsi="Arial" w:cs="Arial"/>
                <w:b/>
                <w:bCs/>
                <w:sz w:val="20"/>
                <w:szCs w:val="20"/>
              </w:rPr>
              <w:t xml:space="preserve"> </w:t>
            </w:r>
            <w:r w:rsidRPr="00B92975">
              <w:rPr>
                <w:rFonts w:ascii="Arial" w:hAnsi="Arial" w:cs="Arial"/>
                <w:b/>
                <w:bCs/>
                <w:sz w:val="20"/>
                <w:szCs w:val="20"/>
                <w:lang w:val="mk-MK"/>
              </w:rPr>
              <w:t>за</w:t>
            </w:r>
            <w:r w:rsidRPr="00B92975">
              <w:rPr>
                <w:rFonts w:ascii="Arial" w:hAnsi="Arial" w:cs="Arial"/>
                <w:b/>
                <w:bCs/>
                <w:sz w:val="20"/>
                <w:szCs w:val="20"/>
              </w:rPr>
              <w:t xml:space="preserve"> </w:t>
            </w:r>
            <w:r w:rsidRPr="00B92975">
              <w:rPr>
                <w:rFonts w:ascii="Arial" w:hAnsi="Arial" w:cs="Arial"/>
                <w:b/>
                <w:bCs/>
                <w:sz w:val="20"/>
                <w:szCs w:val="20"/>
                <w:lang w:val="mk-MK"/>
              </w:rPr>
              <w:t>логистика</w:t>
            </w:r>
            <w:r w:rsidRPr="00B92975">
              <w:rPr>
                <w:rFonts w:ascii="Arial" w:hAnsi="Arial" w:cs="Arial"/>
                <w:b/>
                <w:bCs/>
                <w:sz w:val="20"/>
                <w:szCs w:val="20"/>
              </w:rPr>
              <w:t xml:space="preserve"> </w:t>
            </w:r>
            <w:r w:rsidRPr="00B92975">
              <w:rPr>
                <w:rFonts w:ascii="Arial" w:hAnsi="Arial" w:cs="Arial"/>
                <w:b/>
                <w:bCs/>
                <w:sz w:val="20"/>
                <w:szCs w:val="20"/>
                <w:lang w:val="mk-MK"/>
              </w:rPr>
              <w:t>на</w:t>
            </w:r>
            <w:r w:rsidRPr="00B92975">
              <w:rPr>
                <w:rFonts w:ascii="Arial" w:hAnsi="Arial" w:cs="Arial"/>
                <w:b/>
                <w:bCs/>
                <w:sz w:val="20"/>
                <w:szCs w:val="20"/>
              </w:rPr>
              <w:t xml:space="preserve"> </w:t>
            </w:r>
            <w:r w:rsidRPr="00B92975">
              <w:rPr>
                <w:rFonts w:ascii="Arial" w:hAnsi="Arial" w:cs="Arial"/>
                <w:b/>
                <w:bCs/>
                <w:sz w:val="20"/>
                <w:szCs w:val="20"/>
                <w:lang w:val="mk-MK"/>
              </w:rPr>
              <w:t>продажба</w:t>
            </w:r>
          </w:p>
          <w:p w14:paraId="0FA130DD" w14:textId="77777777" w:rsidR="00332ABD" w:rsidRPr="00B92975" w:rsidRDefault="00332ABD" w:rsidP="00332ABD">
            <w:pPr>
              <w:pStyle w:val="BodyText"/>
              <w:spacing w:after="0"/>
              <w:ind w:left="742" w:hanging="742"/>
              <w:rPr>
                <w:rFonts w:cs="Arial"/>
                <w:lang w:val="ru-RU"/>
              </w:rPr>
            </w:pPr>
            <w:r w:rsidRPr="00B92975">
              <w:rPr>
                <w:rFonts w:cs="Arial"/>
              </w:rPr>
              <w:t>Служба за логистика на работењето со физички лица</w:t>
            </w:r>
          </w:p>
          <w:p w14:paraId="35DC3F10" w14:textId="77777777" w:rsidR="00332ABD" w:rsidRPr="00B92975" w:rsidRDefault="00332ABD" w:rsidP="00332ABD">
            <w:pPr>
              <w:ind w:left="742" w:hanging="742"/>
              <w:jc w:val="both"/>
              <w:rPr>
                <w:rFonts w:cs="Arial"/>
                <w:lang w:val="ru-RU"/>
              </w:rPr>
            </w:pPr>
            <w:r w:rsidRPr="00B92975">
              <w:rPr>
                <w:rFonts w:cs="Arial"/>
                <w:lang w:val="mk-MK"/>
              </w:rPr>
              <w:t>Служба за логистика на работењето со правни</w:t>
            </w:r>
            <w:r w:rsidRPr="00B92975">
              <w:rPr>
                <w:rFonts w:cs="Arial"/>
                <w:lang w:val="en-US"/>
              </w:rPr>
              <w:t xml:space="preserve"> </w:t>
            </w:r>
            <w:r w:rsidRPr="00B92975">
              <w:rPr>
                <w:rFonts w:cs="Arial"/>
                <w:lang w:val="mk-MK"/>
              </w:rPr>
              <w:t>лица</w:t>
            </w:r>
          </w:p>
          <w:p w14:paraId="5D6C2C2A" w14:textId="77777777" w:rsidR="00332ABD" w:rsidRPr="00B92975" w:rsidRDefault="00332ABD" w:rsidP="00332ABD">
            <w:pPr>
              <w:rPr>
                <w:rFonts w:eastAsia="Calibri" w:cs="Arial"/>
                <w:lang w:val="mk-MK"/>
              </w:rPr>
            </w:pPr>
            <w:r w:rsidRPr="00B92975">
              <w:rPr>
                <w:rFonts w:eastAsia="Calibri" w:cs="Arial"/>
              </w:rPr>
              <w:t>Служба за логистика на работењето со финансиски институции и средства на</w:t>
            </w:r>
            <w:r w:rsidRPr="00B92975">
              <w:rPr>
                <w:rFonts w:eastAsia="Calibri" w:cs="Arial"/>
                <w:lang w:val="mk-MK"/>
              </w:rPr>
              <w:t xml:space="preserve"> </w:t>
            </w:r>
            <w:r w:rsidRPr="00B92975">
              <w:rPr>
                <w:rFonts w:eastAsia="Calibri" w:cs="Arial"/>
              </w:rPr>
              <w:t>Банката</w:t>
            </w:r>
          </w:p>
          <w:p w14:paraId="21110094" w14:textId="77777777" w:rsidR="00332ABD" w:rsidRPr="00B92975" w:rsidRDefault="00332ABD" w:rsidP="004D0DBC">
            <w:pPr>
              <w:rPr>
                <w:rFonts w:cs="Arial"/>
                <w:lang w:val="mk-MK"/>
              </w:rPr>
            </w:pPr>
          </w:p>
          <w:p w14:paraId="548AAD72" w14:textId="77777777" w:rsidR="00332ABD" w:rsidRPr="00B92975" w:rsidRDefault="00332ABD" w:rsidP="00332ABD">
            <w:pPr>
              <w:rPr>
                <w:rFonts w:cs="Arial"/>
                <w:b/>
                <w:bCs/>
              </w:rPr>
            </w:pPr>
            <w:r w:rsidRPr="00B92975">
              <w:rPr>
                <w:rFonts w:cs="Arial"/>
                <w:b/>
                <w:bCs/>
                <w:lang w:val="mk-MK"/>
              </w:rPr>
              <w:t>Сектор за информатичка технологија</w:t>
            </w:r>
          </w:p>
          <w:p w14:paraId="672CD6DD" w14:textId="77777777" w:rsidR="00332ABD" w:rsidRPr="00B92975" w:rsidRDefault="00332ABD" w:rsidP="00332ABD">
            <w:pPr>
              <w:rPr>
                <w:rFonts w:cs="Arial"/>
                <w:bCs/>
              </w:rPr>
            </w:pPr>
            <w:r w:rsidRPr="00B92975">
              <w:rPr>
                <w:rFonts w:cs="Arial"/>
                <w:bCs/>
              </w:rPr>
              <w:t>Служба за одржување и управување со информатичката инфраструктура</w:t>
            </w:r>
          </w:p>
          <w:p w14:paraId="3E3BBE11" w14:textId="77777777" w:rsidR="00332ABD" w:rsidRPr="00B92975" w:rsidRDefault="00332ABD" w:rsidP="00332ABD">
            <w:pPr>
              <w:rPr>
                <w:rFonts w:cs="Arial"/>
                <w:bCs/>
                <w:lang w:val="mk-MK"/>
              </w:rPr>
            </w:pPr>
            <w:r w:rsidRPr="00B92975">
              <w:rPr>
                <w:rFonts w:cs="Arial"/>
                <w:bCs/>
              </w:rPr>
              <w:t xml:space="preserve">Служба за </w:t>
            </w:r>
            <w:r w:rsidRPr="00B92975">
              <w:rPr>
                <w:rFonts w:cs="Arial"/>
                <w:bCs/>
                <w:lang w:val="mk-MK"/>
              </w:rPr>
              <w:t xml:space="preserve">поддршка и </w:t>
            </w:r>
            <w:r w:rsidRPr="00B92975">
              <w:rPr>
                <w:rFonts w:cs="Arial"/>
                <w:bCs/>
              </w:rPr>
              <w:t xml:space="preserve">развој на </w:t>
            </w:r>
            <w:r w:rsidRPr="00B92975">
              <w:rPr>
                <w:rFonts w:cs="Arial"/>
                <w:bCs/>
                <w:lang w:val="mk-MK"/>
              </w:rPr>
              <w:t>постојни технологии</w:t>
            </w:r>
          </w:p>
          <w:p w14:paraId="14F76D97" w14:textId="77777777" w:rsidR="00332ABD" w:rsidRPr="00B92975" w:rsidRDefault="00332ABD" w:rsidP="00332ABD">
            <w:pPr>
              <w:rPr>
                <w:rFonts w:cs="Arial"/>
                <w:bCs/>
                <w:lang w:val="mk-MK"/>
              </w:rPr>
            </w:pPr>
            <w:r w:rsidRPr="00B92975">
              <w:rPr>
                <w:rFonts w:cs="Arial"/>
                <w:bCs/>
                <w:lang w:val="mk-MK"/>
              </w:rPr>
              <w:t>Служба за развој на нови технологии и бизнис анализа</w:t>
            </w:r>
          </w:p>
          <w:p w14:paraId="73340468" w14:textId="77777777" w:rsidR="00332ABD" w:rsidRPr="00B92975" w:rsidRDefault="00332ABD" w:rsidP="00332ABD">
            <w:pPr>
              <w:rPr>
                <w:rFonts w:cs="Arial"/>
                <w:bCs/>
                <w:lang w:val="mk-MK"/>
              </w:rPr>
            </w:pPr>
            <w:r w:rsidRPr="00B92975">
              <w:rPr>
                <w:rFonts w:cs="Arial"/>
                <w:bCs/>
                <w:lang w:val="mk-MK"/>
              </w:rPr>
              <w:t>Служба за управување со податоци</w:t>
            </w:r>
          </w:p>
          <w:p w14:paraId="2D99FFB8" w14:textId="77777777" w:rsidR="00332ABD" w:rsidRPr="00B92975" w:rsidRDefault="00332ABD" w:rsidP="00332ABD">
            <w:pPr>
              <w:rPr>
                <w:rFonts w:cs="Arial"/>
                <w:bCs/>
                <w:lang w:val="mk-MK"/>
              </w:rPr>
            </w:pPr>
            <w:r w:rsidRPr="00B92975">
              <w:rPr>
                <w:rFonts w:cs="Arial"/>
                <w:bCs/>
                <w:lang w:val="mk-MK"/>
              </w:rPr>
              <w:t>Служба за безбедност на информатичката технологија</w:t>
            </w:r>
          </w:p>
          <w:p w14:paraId="47A6439B" w14:textId="77777777" w:rsidR="00332ABD" w:rsidRPr="00B92975" w:rsidRDefault="00332ABD" w:rsidP="00332ABD">
            <w:pPr>
              <w:rPr>
                <w:rFonts w:cs="Arial"/>
                <w:bCs/>
                <w:lang w:val="mk-MK"/>
              </w:rPr>
            </w:pPr>
          </w:p>
          <w:p w14:paraId="7AAC6E2B" w14:textId="77777777" w:rsidR="00332ABD" w:rsidRPr="00B92975" w:rsidRDefault="00332ABD" w:rsidP="00332ABD">
            <w:pPr>
              <w:keepNext/>
              <w:rPr>
                <w:rFonts w:cs="Arial"/>
                <w:b/>
                <w:bCs/>
              </w:rPr>
            </w:pPr>
            <w:r w:rsidRPr="00B92975">
              <w:rPr>
                <w:rFonts w:cs="Arial"/>
                <w:b/>
                <w:bCs/>
                <w:lang w:val="mk-MK"/>
              </w:rPr>
              <w:t>Сектор за платни системи</w:t>
            </w:r>
          </w:p>
          <w:p w14:paraId="440B5697" w14:textId="77777777" w:rsidR="00332ABD" w:rsidRPr="00B92975" w:rsidRDefault="00332ABD" w:rsidP="00332ABD">
            <w:pPr>
              <w:pStyle w:val="BodyText2"/>
              <w:jc w:val="left"/>
              <w:rPr>
                <w:rFonts w:ascii="Arial" w:hAnsi="Arial" w:cs="Arial"/>
                <w:noProof/>
                <w:sz w:val="20"/>
                <w:szCs w:val="20"/>
                <w:lang w:val="mk-MK"/>
              </w:rPr>
            </w:pPr>
            <w:r w:rsidRPr="00B92975">
              <w:rPr>
                <w:rFonts w:ascii="Arial" w:hAnsi="Arial" w:cs="Arial"/>
                <w:noProof/>
                <w:sz w:val="20"/>
                <w:szCs w:val="20"/>
                <w:lang w:val="mk-MK"/>
              </w:rPr>
              <w:t>Служба за управување и поддршка на самоуслужни продукти</w:t>
            </w:r>
          </w:p>
          <w:p w14:paraId="0205B926" w14:textId="77777777" w:rsidR="00332ABD" w:rsidRPr="00B92975" w:rsidRDefault="00332ABD" w:rsidP="00332ABD">
            <w:pPr>
              <w:rPr>
                <w:rFonts w:cs="Arial"/>
                <w:lang w:val="mk-MK"/>
              </w:rPr>
            </w:pPr>
            <w:r w:rsidRPr="00B92975">
              <w:rPr>
                <w:rFonts w:cs="Arial"/>
              </w:rPr>
              <w:t xml:space="preserve">Служба за </w:t>
            </w:r>
            <w:r w:rsidRPr="00B92975">
              <w:rPr>
                <w:rFonts w:cs="Arial"/>
                <w:lang w:val="mk-MK"/>
              </w:rPr>
              <w:t>администрација</w:t>
            </w:r>
            <w:r w:rsidRPr="00B92975">
              <w:rPr>
                <w:rFonts w:cs="Arial"/>
              </w:rPr>
              <w:t xml:space="preserve"> и дистрибуција</w:t>
            </w:r>
          </w:p>
          <w:p w14:paraId="309C9590" w14:textId="77777777" w:rsidR="00332ABD" w:rsidRPr="00B92975" w:rsidRDefault="00332ABD" w:rsidP="00332ABD">
            <w:pPr>
              <w:rPr>
                <w:rFonts w:cs="Arial"/>
                <w:lang w:val="mk-MK"/>
              </w:rPr>
            </w:pPr>
            <w:r w:rsidRPr="00B92975">
              <w:rPr>
                <w:rFonts w:cs="Arial"/>
              </w:rPr>
              <w:t>Служба</w:t>
            </w:r>
            <w:r w:rsidRPr="00B92975">
              <w:rPr>
                <w:rFonts w:cs="Arial"/>
                <w:lang w:eastAsia="mk-MK"/>
              </w:rPr>
              <w:t xml:space="preserve"> за </w:t>
            </w:r>
            <w:r w:rsidRPr="00B92975">
              <w:rPr>
                <w:rFonts w:cs="Arial"/>
                <w:lang w:val="mk-MK" w:eastAsia="mk-MK"/>
              </w:rPr>
              <w:t>платен промет со странство</w:t>
            </w:r>
          </w:p>
          <w:p w14:paraId="022275FB" w14:textId="77777777" w:rsidR="00332ABD" w:rsidRPr="00B92975" w:rsidRDefault="00332ABD" w:rsidP="00332ABD">
            <w:pPr>
              <w:rPr>
                <w:rFonts w:cs="Arial"/>
                <w:lang w:val="mk-MK" w:eastAsia="mk-MK"/>
              </w:rPr>
            </w:pPr>
            <w:r w:rsidRPr="00B92975">
              <w:rPr>
                <w:rFonts w:cs="Arial"/>
              </w:rPr>
              <w:t>Служба</w:t>
            </w:r>
            <w:r w:rsidRPr="00B92975">
              <w:rPr>
                <w:rFonts w:cs="Arial"/>
                <w:lang w:eastAsia="mk-MK"/>
              </w:rPr>
              <w:t xml:space="preserve"> за </w:t>
            </w:r>
            <w:r w:rsidRPr="00B92975">
              <w:rPr>
                <w:rFonts w:cs="Arial"/>
                <w:lang w:val="mk-MK" w:eastAsia="mk-MK"/>
              </w:rPr>
              <w:t>платен промет во земјата</w:t>
            </w:r>
          </w:p>
          <w:p w14:paraId="5A292110" w14:textId="77777777" w:rsidR="004D0DBC" w:rsidRPr="00B92975" w:rsidRDefault="004D0DBC" w:rsidP="004D0DBC">
            <w:pPr>
              <w:rPr>
                <w:rFonts w:cs="Arial"/>
                <w:lang w:val="mk-MK"/>
              </w:rPr>
            </w:pPr>
          </w:p>
          <w:p w14:paraId="76E65C31" w14:textId="77777777" w:rsidR="004D0DBC" w:rsidRPr="00B92975" w:rsidRDefault="004D0DBC" w:rsidP="004D0DBC">
            <w:pPr>
              <w:rPr>
                <w:rFonts w:cs="Arial"/>
                <w:b/>
                <w:lang w:val="mk-MK"/>
              </w:rPr>
            </w:pPr>
            <w:r w:rsidRPr="00B92975">
              <w:rPr>
                <w:rFonts w:cs="Arial"/>
                <w:b/>
                <w:lang w:val="mk-MK"/>
              </w:rPr>
              <w:t>Сектор за логистика на Банката</w:t>
            </w:r>
          </w:p>
          <w:p w14:paraId="4636A82C" w14:textId="77777777" w:rsidR="009C711E" w:rsidRPr="00B92975" w:rsidRDefault="009C711E" w:rsidP="001160A3">
            <w:pPr>
              <w:pStyle w:val="BodyText2"/>
              <w:spacing w:before="240"/>
              <w:jc w:val="left"/>
              <w:rPr>
                <w:rFonts w:asciiTheme="minorHAnsi" w:hAnsiTheme="minorHAnsi" w:cs="Arial"/>
                <w:lang w:val="ru-RU"/>
              </w:rPr>
            </w:pPr>
          </w:p>
        </w:tc>
      </w:tr>
      <w:tr w:rsidR="006A0B6C" w:rsidRPr="0085597D" w14:paraId="79D92B01" w14:textId="77777777" w:rsidTr="000B7C52">
        <w:trPr>
          <w:trHeight w:val="415"/>
        </w:trPr>
        <w:tc>
          <w:tcPr>
            <w:tcW w:w="1844" w:type="dxa"/>
            <w:gridSpan w:val="3"/>
            <w:tcBorders>
              <w:bottom w:val="single" w:sz="4" w:space="0" w:color="auto"/>
            </w:tcBorders>
            <w:vAlign w:val="center"/>
          </w:tcPr>
          <w:p w14:paraId="274D8151" w14:textId="72C6256B" w:rsidR="006A0B6C" w:rsidRPr="001160A3" w:rsidRDefault="006A0B6C" w:rsidP="004D0DBC">
            <w:pPr>
              <w:tabs>
                <w:tab w:val="left" w:pos="3703"/>
              </w:tabs>
              <w:rPr>
                <w:rFonts w:cs="Arial"/>
                <w:lang w:val="en-US"/>
              </w:rPr>
            </w:pPr>
            <w:r w:rsidRPr="0085597D">
              <w:rPr>
                <w:rFonts w:cs="Arial"/>
                <w:b/>
                <w:lang w:val="mk-MK"/>
              </w:rPr>
              <w:lastRenderedPageBreak/>
              <w:t>Број на вработени</w:t>
            </w:r>
            <w:r w:rsidR="00932A66" w:rsidRPr="0085597D">
              <w:rPr>
                <w:rFonts w:cs="Arial"/>
                <w:b/>
                <w:lang w:val="mk-MK"/>
              </w:rPr>
              <w:t xml:space="preserve"> на </w:t>
            </w:r>
            <w:r w:rsidR="00580FEF" w:rsidRPr="00B92975">
              <w:rPr>
                <w:rFonts w:cs="Arial"/>
                <w:b/>
                <w:lang w:val="ru-RU"/>
              </w:rPr>
              <w:t>3</w:t>
            </w:r>
            <w:r w:rsidR="007067E1" w:rsidRPr="00B92975">
              <w:rPr>
                <w:rFonts w:cs="Arial"/>
                <w:b/>
                <w:lang w:val="en-US"/>
              </w:rPr>
              <w:t>1</w:t>
            </w:r>
            <w:r w:rsidR="00932A66" w:rsidRPr="00B92975">
              <w:rPr>
                <w:rFonts w:cs="Arial"/>
                <w:b/>
                <w:lang w:val="mk-MK"/>
              </w:rPr>
              <w:t>.</w:t>
            </w:r>
            <w:r w:rsidR="007067E1" w:rsidRPr="00B92975">
              <w:rPr>
                <w:rFonts w:cs="Arial"/>
                <w:b/>
                <w:lang w:val="en-US"/>
              </w:rPr>
              <w:t>12</w:t>
            </w:r>
            <w:r w:rsidR="00932A66" w:rsidRPr="00B92975">
              <w:rPr>
                <w:rFonts w:cs="Arial"/>
                <w:b/>
                <w:lang w:val="mk-MK"/>
              </w:rPr>
              <w:t>.</w:t>
            </w:r>
            <w:r w:rsidR="00B73716" w:rsidRPr="00B92975">
              <w:rPr>
                <w:rFonts w:cs="Arial"/>
                <w:b/>
                <w:lang w:val="mk-MK"/>
              </w:rPr>
              <w:t>20</w:t>
            </w:r>
            <w:r w:rsidR="001160A3" w:rsidRPr="00B92975">
              <w:rPr>
                <w:rFonts w:cs="Arial"/>
                <w:b/>
                <w:lang w:val="en-US"/>
              </w:rPr>
              <w:t>2</w:t>
            </w:r>
            <w:r w:rsidR="00F65527" w:rsidRPr="00B92975">
              <w:rPr>
                <w:rFonts w:cs="Arial"/>
                <w:b/>
                <w:lang w:val="en-US"/>
              </w:rPr>
              <w:t>3</w:t>
            </w:r>
          </w:p>
        </w:tc>
        <w:tc>
          <w:tcPr>
            <w:tcW w:w="8515" w:type="dxa"/>
            <w:tcBorders>
              <w:bottom w:val="single" w:sz="4" w:space="0" w:color="auto"/>
            </w:tcBorders>
            <w:vAlign w:val="center"/>
          </w:tcPr>
          <w:p w14:paraId="6366CD27" w14:textId="74605249" w:rsidR="006A0B6C" w:rsidRPr="0085597D" w:rsidRDefault="004D0DBC" w:rsidP="00580FEF">
            <w:pPr>
              <w:rPr>
                <w:rFonts w:cs="Arial"/>
                <w:lang w:val="ru-RU"/>
              </w:rPr>
            </w:pPr>
            <w:r w:rsidRPr="007E07A5">
              <w:rPr>
                <w:rFonts w:cs="Arial"/>
                <w:b/>
                <w:bCs/>
                <w:lang w:val="en-US"/>
              </w:rPr>
              <w:t>9</w:t>
            </w:r>
            <w:r w:rsidR="000B7C52" w:rsidRPr="007E07A5">
              <w:rPr>
                <w:rFonts w:cs="Arial"/>
                <w:b/>
                <w:bCs/>
                <w:lang w:val="en-US"/>
              </w:rPr>
              <w:t>54</w:t>
            </w:r>
          </w:p>
        </w:tc>
      </w:tr>
      <w:tr w:rsidR="006A0B6C" w:rsidRPr="0085597D" w14:paraId="7134CEEB" w14:textId="77777777" w:rsidTr="000B7C52">
        <w:trPr>
          <w:trHeight w:val="415"/>
        </w:trPr>
        <w:tc>
          <w:tcPr>
            <w:tcW w:w="1844" w:type="dxa"/>
            <w:gridSpan w:val="3"/>
            <w:tcBorders>
              <w:bottom w:val="single" w:sz="4" w:space="0" w:color="auto"/>
            </w:tcBorders>
            <w:vAlign w:val="center"/>
          </w:tcPr>
          <w:p w14:paraId="1B53BD67" w14:textId="77777777" w:rsidR="006A0B6C" w:rsidRPr="0085597D" w:rsidRDefault="006A0B6C" w:rsidP="00580FEF">
            <w:pPr>
              <w:tabs>
                <w:tab w:val="left" w:pos="3703"/>
              </w:tabs>
              <w:rPr>
                <w:rFonts w:cs="Arial"/>
                <w:b/>
                <w:lang w:val="ru-RU"/>
              </w:rPr>
            </w:pPr>
            <w:r w:rsidRPr="0085597D">
              <w:rPr>
                <w:rFonts w:cs="Arial"/>
                <w:b/>
                <w:lang w:val="mk-MK"/>
              </w:rPr>
              <w:t>Преглед на финансиски активности кои може да ги врши согласно со дозволата за основање и работење</w:t>
            </w:r>
            <w:r w:rsidR="00924ABE" w:rsidRPr="0085597D">
              <w:rPr>
                <w:rFonts w:cs="Arial"/>
                <w:b/>
                <w:lang w:val="mk-MK"/>
              </w:rPr>
              <w:t xml:space="preserve"> издадена од Гувернерот на </w:t>
            </w:r>
            <w:r w:rsidR="0085597D">
              <w:rPr>
                <w:rFonts w:cs="Arial"/>
                <w:b/>
                <w:lang w:val="mk-MK"/>
              </w:rPr>
              <w:t>НБРСМ</w:t>
            </w:r>
          </w:p>
          <w:p w14:paraId="7695CB97" w14:textId="77777777" w:rsidR="004B3823" w:rsidRPr="0085597D" w:rsidRDefault="004B3823" w:rsidP="00580FEF">
            <w:pPr>
              <w:tabs>
                <w:tab w:val="left" w:pos="3703"/>
              </w:tabs>
              <w:rPr>
                <w:rFonts w:cs="Arial"/>
                <w:b/>
                <w:lang w:val="mk-MK"/>
              </w:rPr>
            </w:pPr>
          </w:p>
          <w:p w14:paraId="6BB06261" w14:textId="77777777" w:rsidR="004B3823" w:rsidRPr="0085597D" w:rsidRDefault="004B3823" w:rsidP="00580FEF">
            <w:pPr>
              <w:tabs>
                <w:tab w:val="left" w:pos="3703"/>
              </w:tabs>
              <w:rPr>
                <w:rFonts w:cs="Arial"/>
                <w:lang w:val="mk-MK"/>
              </w:rPr>
            </w:pPr>
          </w:p>
        </w:tc>
        <w:tc>
          <w:tcPr>
            <w:tcW w:w="8515" w:type="dxa"/>
            <w:tcBorders>
              <w:bottom w:val="single" w:sz="4" w:space="0" w:color="auto"/>
            </w:tcBorders>
            <w:vAlign w:val="center"/>
          </w:tcPr>
          <w:p w14:paraId="68BB0D42" w14:textId="77777777" w:rsidR="00BD3021" w:rsidRPr="0085597D" w:rsidRDefault="00BC34B6" w:rsidP="00BD3021">
            <w:pPr>
              <w:widowControl w:val="0"/>
              <w:numPr>
                <w:ilvl w:val="0"/>
                <w:numId w:val="6"/>
              </w:numPr>
              <w:tabs>
                <w:tab w:val="left" w:pos="479"/>
              </w:tabs>
              <w:suppressAutoHyphens/>
              <w:rPr>
                <w:rFonts w:cs="Arial"/>
                <w:lang w:val="pt-BR"/>
              </w:rPr>
            </w:pPr>
            <w:r w:rsidRPr="0085597D">
              <w:rPr>
                <w:rFonts w:cs="Arial"/>
                <w:lang w:val="mk-MK"/>
              </w:rPr>
              <w:t xml:space="preserve">   </w:t>
            </w:r>
            <w:r w:rsidR="00BD3021" w:rsidRPr="0085597D">
              <w:rPr>
                <w:rFonts w:cs="Arial"/>
                <w:lang w:val="mk-MK"/>
              </w:rPr>
              <w:t>Прибирање депозити и други повратни извори на средства;</w:t>
            </w:r>
          </w:p>
          <w:p w14:paraId="6AF89E13"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 xml:space="preserve">Кредитирање во земјата, вклучувајќи и факторинг и финансирање на комерцијални трансакции </w:t>
            </w:r>
          </w:p>
          <w:p w14:paraId="5ED53DD4"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 xml:space="preserve">Кредитирање во странство, вклучувајќи и факторинг ифинансирање на комерцијални трансакции </w:t>
            </w:r>
          </w:p>
          <w:p w14:paraId="35B1E2D4"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 xml:space="preserve">Издавање и администрирање платежни средства(парични картички,чекови, патни чекови, меници); </w:t>
            </w:r>
          </w:p>
          <w:p w14:paraId="0457BFAD"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Финансиски лизинг;</w:t>
            </w:r>
          </w:p>
          <w:p w14:paraId="35610F76"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Менувачки работи;</w:t>
            </w:r>
          </w:p>
          <w:p w14:paraId="679B03DF"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Платен промет во земјата и странство, вклучувајќи купопродажба на девизи;</w:t>
            </w:r>
          </w:p>
          <w:p w14:paraId="40F07254"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Издавање платежни гаранции, авали и други форми на обезбедување;</w:t>
            </w:r>
          </w:p>
          <w:p w14:paraId="635EE511"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Изнајмување сефови, остава и депо;</w:t>
            </w:r>
          </w:p>
          <w:p w14:paraId="4A86B43D"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Тргување со инструменти на пазарот на пари(меници, чекови, сертификати за депозит);</w:t>
            </w:r>
          </w:p>
          <w:p w14:paraId="2CBD53B0" w14:textId="77777777" w:rsidR="00BD3021" w:rsidRPr="0085597D" w:rsidRDefault="00BD3021" w:rsidP="00BD3021">
            <w:pPr>
              <w:widowControl w:val="0"/>
              <w:numPr>
                <w:ilvl w:val="0"/>
                <w:numId w:val="6"/>
              </w:numPr>
              <w:suppressAutoHyphens/>
              <w:rPr>
                <w:rFonts w:cs="Arial"/>
                <w:lang w:val="pt-BR"/>
              </w:rPr>
            </w:pPr>
            <w:r w:rsidRPr="0085597D">
              <w:rPr>
                <w:rFonts w:cs="Arial"/>
                <w:lang w:val="mk-MK"/>
              </w:rPr>
              <w:t xml:space="preserve">Тргување со девизни средства, што вклучува и тргување со благородни метали; </w:t>
            </w:r>
          </w:p>
          <w:p w14:paraId="7640645F" w14:textId="77777777" w:rsidR="00BD3021" w:rsidRPr="0085597D" w:rsidRDefault="00BD3021" w:rsidP="00BD3021">
            <w:pPr>
              <w:widowControl w:val="0"/>
              <w:numPr>
                <w:ilvl w:val="0"/>
                <w:numId w:val="6"/>
              </w:numPr>
              <w:suppressAutoHyphens/>
              <w:rPr>
                <w:rFonts w:cs="Arial"/>
                <w:lang w:val="pt-BR"/>
              </w:rPr>
            </w:pPr>
            <w:r w:rsidRPr="0085597D">
              <w:rPr>
                <w:rFonts w:cs="Arial"/>
                <w:lang w:val="mk-MK"/>
              </w:rPr>
              <w:t>Тргување со хартии од вредност;</w:t>
            </w:r>
          </w:p>
          <w:p w14:paraId="1F577DC2" w14:textId="77777777" w:rsidR="00BD3021" w:rsidRPr="0085597D" w:rsidRDefault="00BD3021" w:rsidP="00BD3021">
            <w:pPr>
              <w:widowControl w:val="0"/>
              <w:numPr>
                <w:ilvl w:val="0"/>
                <w:numId w:val="6"/>
              </w:numPr>
              <w:suppressAutoHyphens/>
              <w:rPr>
                <w:rFonts w:cs="Arial"/>
                <w:lang w:val="en-US"/>
              </w:rPr>
            </w:pPr>
            <w:r w:rsidRPr="0085597D">
              <w:rPr>
                <w:rFonts w:cs="Arial"/>
                <w:lang w:val="mk-MK"/>
              </w:rPr>
              <w:t>Тргување со финансиски деривати;</w:t>
            </w:r>
          </w:p>
          <w:p w14:paraId="7A804F05"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Давање услуги набанка-чувар на имот;</w:t>
            </w:r>
          </w:p>
          <w:p w14:paraId="276460F6"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Посредување во продажба на полиси за осигурување;</w:t>
            </w:r>
          </w:p>
          <w:p w14:paraId="50E897CE"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Посредување во склучување договори за кредити и заеми;</w:t>
            </w:r>
          </w:p>
          <w:p w14:paraId="06149CE5"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Обработка и анализа на информации за кредитна способност на правни лица;</w:t>
            </w:r>
          </w:p>
          <w:p w14:paraId="5FD3B59C" w14:textId="77777777" w:rsidR="00BD3021" w:rsidRPr="0085597D" w:rsidRDefault="00BD3021" w:rsidP="00BD3021">
            <w:pPr>
              <w:widowControl w:val="0"/>
              <w:numPr>
                <w:ilvl w:val="0"/>
                <w:numId w:val="6"/>
              </w:numPr>
              <w:suppressAutoHyphens/>
              <w:rPr>
                <w:rFonts w:cs="Arial"/>
                <w:lang w:val="en-US"/>
              </w:rPr>
            </w:pPr>
            <w:r w:rsidRPr="0085597D">
              <w:rPr>
                <w:rFonts w:cs="Arial"/>
                <w:lang w:val="mk-MK"/>
              </w:rPr>
              <w:t>Економско-финансиски консалтинг;</w:t>
            </w:r>
          </w:p>
          <w:p w14:paraId="57EB1942" w14:textId="77777777" w:rsidR="006A0B6C" w:rsidRPr="0085597D" w:rsidRDefault="006A0B6C" w:rsidP="00A81255">
            <w:pPr>
              <w:widowControl w:val="0"/>
              <w:tabs>
                <w:tab w:val="left" w:pos="479"/>
              </w:tabs>
              <w:suppressAutoHyphens/>
              <w:rPr>
                <w:rFonts w:cs="Arial"/>
                <w:lang w:val="mk-MK"/>
              </w:rPr>
            </w:pPr>
          </w:p>
        </w:tc>
      </w:tr>
      <w:tr w:rsidR="004B3823" w:rsidRPr="0085597D" w14:paraId="77215FFE" w14:textId="77777777" w:rsidTr="000B7C52">
        <w:trPr>
          <w:trHeight w:val="415"/>
        </w:trPr>
        <w:tc>
          <w:tcPr>
            <w:tcW w:w="1844" w:type="dxa"/>
            <w:gridSpan w:val="3"/>
            <w:tcBorders>
              <w:bottom w:val="single" w:sz="4" w:space="0" w:color="auto"/>
            </w:tcBorders>
            <w:vAlign w:val="center"/>
          </w:tcPr>
          <w:p w14:paraId="11F2F453" w14:textId="77777777" w:rsidR="004B3823" w:rsidRPr="0085597D" w:rsidRDefault="004B3823" w:rsidP="00580FEF">
            <w:pPr>
              <w:tabs>
                <w:tab w:val="left" w:pos="3703"/>
              </w:tabs>
              <w:rPr>
                <w:rFonts w:cs="Arial"/>
                <w:b/>
                <w:lang w:val="ru-RU"/>
              </w:rPr>
            </w:pPr>
            <w:r w:rsidRPr="0085597D">
              <w:rPr>
                <w:rFonts w:cs="Arial"/>
                <w:b/>
                <w:lang w:val="mk-MK"/>
              </w:rPr>
              <w:t>Преглед на финансиски акт</w:t>
            </w:r>
            <w:r w:rsidR="00924ABE" w:rsidRPr="0085597D">
              <w:rPr>
                <w:rFonts w:cs="Arial"/>
                <w:b/>
                <w:lang w:val="mk-MK"/>
              </w:rPr>
              <w:t>ивности кои во моментот ги врши</w:t>
            </w:r>
          </w:p>
          <w:p w14:paraId="3093DDCF" w14:textId="77777777" w:rsidR="004B3823" w:rsidRPr="0085597D" w:rsidRDefault="004B3823" w:rsidP="00580FEF">
            <w:pPr>
              <w:tabs>
                <w:tab w:val="left" w:pos="3703"/>
              </w:tabs>
              <w:rPr>
                <w:rFonts w:cs="Arial"/>
                <w:lang w:val="ru-RU"/>
              </w:rPr>
            </w:pPr>
          </w:p>
        </w:tc>
        <w:tc>
          <w:tcPr>
            <w:tcW w:w="8515" w:type="dxa"/>
            <w:tcBorders>
              <w:bottom w:val="single" w:sz="4" w:space="0" w:color="auto"/>
            </w:tcBorders>
            <w:vAlign w:val="center"/>
          </w:tcPr>
          <w:p w14:paraId="33B116E1"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Прибирање депозити и други повратни извори на средства;</w:t>
            </w:r>
          </w:p>
          <w:p w14:paraId="2BC796EC"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Кредитирање во земјата, вклучувајќи и факторинг и финансирање на комерцијални трансакции</w:t>
            </w:r>
            <w:r w:rsidRPr="0085597D">
              <w:rPr>
                <w:rFonts w:cs="Arial"/>
                <w:lang w:val="ru-RU"/>
              </w:rPr>
              <w:t>;</w:t>
            </w:r>
          </w:p>
          <w:p w14:paraId="22F5A5C4"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Кредитирање во странство, вклучувајќи и факторинг и финансирање на комерцијални трансакции</w:t>
            </w:r>
            <w:r w:rsidRPr="0085597D">
              <w:rPr>
                <w:rFonts w:cs="Arial"/>
                <w:lang w:val="ru-RU"/>
              </w:rPr>
              <w:t>;</w:t>
            </w:r>
          </w:p>
          <w:p w14:paraId="44E5155D"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 xml:space="preserve">Издавање и администрирање платежни средства(парични картички,чекови, патни чекови, меници); </w:t>
            </w:r>
          </w:p>
          <w:p w14:paraId="23715D5D"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Менувачки работи;</w:t>
            </w:r>
          </w:p>
          <w:p w14:paraId="4F1784B0"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Платен промет во земјата и странство, вклучувајќи купопродажба на девизи;</w:t>
            </w:r>
          </w:p>
          <w:p w14:paraId="544A2DDA"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Издавање платежни гаранции, авали и други форми на обезбедување;</w:t>
            </w:r>
          </w:p>
          <w:p w14:paraId="3CCDDCD6"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Изнајмување сефови, остава и депо;</w:t>
            </w:r>
          </w:p>
          <w:p w14:paraId="409DD303" w14:textId="77777777" w:rsidR="00BD3021" w:rsidRPr="0085597D" w:rsidRDefault="00BD3021" w:rsidP="00BD3021">
            <w:pPr>
              <w:widowControl w:val="0"/>
              <w:numPr>
                <w:ilvl w:val="0"/>
                <w:numId w:val="6"/>
              </w:numPr>
              <w:tabs>
                <w:tab w:val="left" w:pos="479"/>
              </w:tabs>
              <w:suppressAutoHyphens/>
              <w:rPr>
                <w:rFonts w:cs="Arial"/>
                <w:lang w:val="pt-BR"/>
              </w:rPr>
            </w:pPr>
            <w:r w:rsidRPr="0085597D">
              <w:rPr>
                <w:rFonts w:cs="Arial"/>
                <w:lang w:val="mk-MK"/>
              </w:rPr>
              <w:t>Тргување со инструменти на пазарот на пари (меници, чекови, сертификати за депозит);</w:t>
            </w:r>
          </w:p>
          <w:p w14:paraId="01B4E8B2" w14:textId="77777777" w:rsidR="00BD3021" w:rsidRPr="0085597D" w:rsidRDefault="00BD3021" w:rsidP="00BD3021">
            <w:pPr>
              <w:widowControl w:val="0"/>
              <w:numPr>
                <w:ilvl w:val="0"/>
                <w:numId w:val="6"/>
              </w:numPr>
              <w:suppressAutoHyphens/>
              <w:rPr>
                <w:rFonts w:cs="Arial"/>
                <w:lang w:val="pt-BR"/>
              </w:rPr>
            </w:pPr>
            <w:r w:rsidRPr="0085597D">
              <w:rPr>
                <w:rFonts w:cs="Arial"/>
                <w:lang w:val="mk-MK"/>
              </w:rPr>
              <w:t xml:space="preserve">Тргување со девизни средства, што вклучува и тргување со благородни метали; </w:t>
            </w:r>
          </w:p>
          <w:p w14:paraId="144F9689" w14:textId="77777777" w:rsidR="00BD3021" w:rsidRPr="0085597D" w:rsidRDefault="00BD3021" w:rsidP="00BD3021">
            <w:pPr>
              <w:widowControl w:val="0"/>
              <w:numPr>
                <w:ilvl w:val="0"/>
                <w:numId w:val="6"/>
              </w:numPr>
              <w:suppressAutoHyphens/>
              <w:rPr>
                <w:rFonts w:cs="Arial"/>
                <w:lang w:val="pt-BR"/>
              </w:rPr>
            </w:pPr>
            <w:r w:rsidRPr="0085597D">
              <w:rPr>
                <w:rFonts w:cs="Arial"/>
                <w:lang w:val="mk-MK"/>
              </w:rPr>
              <w:t>Тргување со хартии од вредност;</w:t>
            </w:r>
          </w:p>
          <w:p w14:paraId="4C4EBD25" w14:textId="77777777" w:rsidR="00BD3021" w:rsidRPr="0085597D" w:rsidRDefault="00BD3021" w:rsidP="00BD3021">
            <w:pPr>
              <w:widowControl w:val="0"/>
              <w:numPr>
                <w:ilvl w:val="0"/>
                <w:numId w:val="6"/>
              </w:numPr>
              <w:suppressAutoHyphens/>
              <w:rPr>
                <w:rFonts w:cs="Arial"/>
                <w:lang w:val="en-US"/>
              </w:rPr>
            </w:pPr>
            <w:r w:rsidRPr="0085597D">
              <w:rPr>
                <w:rFonts w:cs="Arial"/>
                <w:lang w:val="mk-MK"/>
              </w:rPr>
              <w:t>Тргување со финансиски деривати;</w:t>
            </w:r>
          </w:p>
          <w:p w14:paraId="03BB07D7"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Давање услуги на банка-чувар на имот;</w:t>
            </w:r>
          </w:p>
          <w:p w14:paraId="39287CF3"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Посредување во продажба на полиси за осигурување;</w:t>
            </w:r>
          </w:p>
          <w:p w14:paraId="614E58CE"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Посредување во склучување договори за кредити и заеми;</w:t>
            </w:r>
          </w:p>
          <w:p w14:paraId="15B1D192" w14:textId="77777777" w:rsidR="00BD3021" w:rsidRPr="0085597D" w:rsidRDefault="00BD3021" w:rsidP="00BD3021">
            <w:pPr>
              <w:widowControl w:val="0"/>
              <w:numPr>
                <w:ilvl w:val="0"/>
                <w:numId w:val="6"/>
              </w:numPr>
              <w:suppressAutoHyphens/>
              <w:rPr>
                <w:rFonts w:cs="Arial"/>
                <w:lang w:val="ru-RU"/>
              </w:rPr>
            </w:pPr>
            <w:r w:rsidRPr="0085597D">
              <w:rPr>
                <w:rFonts w:cs="Arial"/>
                <w:lang w:val="mk-MK"/>
              </w:rPr>
              <w:t>Обработка и анализа на информации за кредитна способност на правни лица;</w:t>
            </w:r>
          </w:p>
          <w:p w14:paraId="61C195BE" w14:textId="77777777" w:rsidR="00BD3021" w:rsidRPr="0085597D" w:rsidRDefault="00BD3021" w:rsidP="00BD3021">
            <w:pPr>
              <w:widowControl w:val="0"/>
              <w:numPr>
                <w:ilvl w:val="0"/>
                <w:numId w:val="6"/>
              </w:numPr>
              <w:suppressAutoHyphens/>
              <w:rPr>
                <w:rFonts w:cs="Arial"/>
                <w:lang w:val="en-US"/>
              </w:rPr>
            </w:pPr>
            <w:r w:rsidRPr="0085597D">
              <w:rPr>
                <w:rFonts w:cs="Arial"/>
                <w:lang w:val="mk-MK"/>
              </w:rPr>
              <w:t>Економско-финансиски консалтинг.</w:t>
            </w:r>
          </w:p>
          <w:p w14:paraId="5A9A93B5" w14:textId="77777777" w:rsidR="004B3823" w:rsidRPr="0085597D" w:rsidRDefault="004B3823" w:rsidP="00580FEF">
            <w:pPr>
              <w:tabs>
                <w:tab w:val="num" w:pos="618"/>
              </w:tabs>
              <w:ind w:left="618" w:firstLine="90"/>
              <w:rPr>
                <w:rFonts w:cs="Arial"/>
                <w:lang w:val="pt-BR"/>
              </w:rPr>
            </w:pPr>
          </w:p>
        </w:tc>
      </w:tr>
      <w:tr w:rsidR="006F31DA" w:rsidRPr="0085597D" w14:paraId="60361CB0" w14:textId="77777777" w:rsidTr="000B7C52">
        <w:trPr>
          <w:trHeight w:val="272"/>
        </w:trPr>
        <w:tc>
          <w:tcPr>
            <w:tcW w:w="1844" w:type="dxa"/>
            <w:gridSpan w:val="3"/>
            <w:shd w:val="clear" w:color="auto" w:fill="auto"/>
            <w:vAlign w:val="center"/>
          </w:tcPr>
          <w:p w14:paraId="566C79ED" w14:textId="77777777" w:rsidR="006F31DA" w:rsidRPr="0085597D" w:rsidRDefault="006F31DA" w:rsidP="00580FEF">
            <w:pPr>
              <w:tabs>
                <w:tab w:val="left" w:pos="3703"/>
              </w:tabs>
              <w:rPr>
                <w:rFonts w:cs="Arial"/>
                <w:b/>
                <w:color w:val="FFFFFF"/>
                <w:lang w:val="ru-RU"/>
              </w:rPr>
            </w:pPr>
            <w:r w:rsidRPr="0085597D">
              <w:rPr>
                <w:rFonts w:cs="Arial"/>
                <w:b/>
                <w:lang w:val="mk-MK"/>
              </w:rPr>
              <w:lastRenderedPageBreak/>
              <w:t xml:space="preserve">Преглед на финансиски активности за кои од страна на Гувернерот на </w:t>
            </w:r>
            <w:r w:rsidR="0085597D">
              <w:rPr>
                <w:rFonts w:cs="Arial"/>
                <w:b/>
                <w:lang w:val="mk-MK"/>
              </w:rPr>
              <w:t>НБРСМ</w:t>
            </w:r>
            <w:r w:rsidRPr="0085597D">
              <w:rPr>
                <w:rFonts w:cs="Arial"/>
                <w:b/>
                <w:lang w:val="mk-MK"/>
              </w:rPr>
              <w:t xml:space="preserve"> е изречена забрана или ограничување за нивно вршење, односно е повлечена согласноста</w:t>
            </w:r>
          </w:p>
        </w:tc>
        <w:tc>
          <w:tcPr>
            <w:tcW w:w="8515" w:type="dxa"/>
            <w:shd w:val="clear" w:color="auto" w:fill="auto"/>
            <w:vAlign w:val="center"/>
          </w:tcPr>
          <w:p w14:paraId="1A8E4D3F" w14:textId="77777777" w:rsidR="006F31DA" w:rsidRPr="0085597D" w:rsidRDefault="00BD3021" w:rsidP="00580FEF">
            <w:pPr>
              <w:tabs>
                <w:tab w:val="left" w:pos="3703"/>
              </w:tabs>
              <w:rPr>
                <w:rFonts w:cs="Arial"/>
                <w:lang w:val="mk-MK"/>
              </w:rPr>
            </w:pPr>
            <w:r w:rsidRPr="00AF2E40">
              <w:rPr>
                <w:rFonts w:cs="Arial"/>
                <w:lang w:val="mk-MK"/>
              </w:rPr>
              <w:t>НЕМА</w:t>
            </w:r>
          </w:p>
        </w:tc>
      </w:tr>
      <w:tr w:rsidR="00171922" w:rsidRPr="0085597D" w14:paraId="2CE88AE1" w14:textId="77777777" w:rsidTr="000B7C52">
        <w:trPr>
          <w:trHeight w:val="272"/>
        </w:trPr>
        <w:tc>
          <w:tcPr>
            <w:tcW w:w="10359" w:type="dxa"/>
            <w:gridSpan w:val="4"/>
            <w:shd w:val="clear" w:color="auto" w:fill="92D050"/>
            <w:vAlign w:val="center"/>
          </w:tcPr>
          <w:p w14:paraId="16F76BA0" w14:textId="77777777" w:rsidR="00171922" w:rsidRPr="0085597D" w:rsidRDefault="00CC5252" w:rsidP="00580FEF">
            <w:pPr>
              <w:rPr>
                <w:rFonts w:cs="Arial"/>
                <w:color w:val="FFFFFF"/>
                <w:lang w:val="mk-MK"/>
              </w:rPr>
            </w:pPr>
            <w:r w:rsidRPr="0085597D">
              <w:rPr>
                <w:rFonts w:cs="Arial"/>
                <w:b/>
                <w:color w:val="FFFFFF"/>
                <w:lang w:val="mk-MK"/>
              </w:rPr>
              <w:t>1</w:t>
            </w:r>
            <w:r w:rsidR="00171922" w:rsidRPr="0085597D">
              <w:rPr>
                <w:rFonts w:cs="Arial"/>
                <w:b/>
                <w:color w:val="FFFFFF"/>
                <w:lang w:val="mk-MK"/>
              </w:rPr>
              <w:t>.</w:t>
            </w:r>
            <w:r w:rsidR="009E1301" w:rsidRPr="0085597D">
              <w:rPr>
                <w:rFonts w:cs="Arial"/>
                <w:b/>
                <w:color w:val="FFFFFF"/>
                <w:lang w:val="mk-MK"/>
              </w:rPr>
              <w:t>1</w:t>
            </w:r>
            <w:r w:rsidRPr="0085597D">
              <w:rPr>
                <w:rFonts w:cs="Arial"/>
                <w:b/>
                <w:color w:val="FFFFFF"/>
                <w:lang w:val="mk-MK"/>
              </w:rPr>
              <w:t>.</w:t>
            </w:r>
            <w:r w:rsidR="00171922" w:rsidRPr="0085597D">
              <w:rPr>
                <w:rFonts w:cs="Arial"/>
                <w:b/>
                <w:color w:val="FFFFFF"/>
                <w:lang w:val="mk-MK"/>
              </w:rPr>
              <w:t xml:space="preserve"> ПОДАТОЦИ ЗА БАНКАРСКА ГРУПА </w:t>
            </w:r>
          </w:p>
        </w:tc>
      </w:tr>
      <w:tr w:rsidR="006A0B6C" w:rsidRPr="0085597D" w14:paraId="3C834023" w14:textId="77777777" w:rsidTr="000B7C52">
        <w:trPr>
          <w:trHeight w:val="145"/>
        </w:trPr>
        <w:tc>
          <w:tcPr>
            <w:tcW w:w="1585" w:type="dxa"/>
            <w:vAlign w:val="center"/>
          </w:tcPr>
          <w:p w14:paraId="7024A497" w14:textId="77777777" w:rsidR="006A0B6C" w:rsidRPr="0085597D" w:rsidRDefault="00171922" w:rsidP="00580FEF">
            <w:pPr>
              <w:rPr>
                <w:rFonts w:cs="Arial"/>
                <w:b/>
                <w:lang w:val="ru-RU"/>
              </w:rPr>
            </w:pPr>
            <w:r w:rsidRPr="0085597D">
              <w:rPr>
                <w:rFonts w:cs="Arial"/>
                <w:b/>
                <w:lang w:val="mk-MK"/>
              </w:rPr>
              <w:t>Назив, седиште и претежна дејност на матичното лице, како и на секој член на банкарската група</w:t>
            </w:r>
          </w:p>
        </w:tc>
        <w:tc>
          <w:tcPr>
            <w:tcW w:w="8774" w:type="dxa"/>
            <w:gridSpan w:val="3"/>
            <w:shd w:val="clear" w:color="auto" w:fill="auto"/>
            <w:vAlign w:val="center"/>
          </w:tcPr>
          <w:p w14:paraId="48CB204D" w14:textId="77777777" w:rsidR="00BD3021" w:rsidRPr="0085597D" w:rsidRDefault="00BD3021" w:rsidP="00BD3021">
            <w:pPr>
              <w:rPr>
                <w:rFonts w:cs="Arial"/>
                <w:lang w:val="ru-RU"/>
              </w:rPr>
            </w:pPr>
            <w:r w:rsidRPr="0085597D">
              <w:rPr>
                <w:rFonts w:cs="Arial"/>
                <w:lang w:val="mk-MK"/>
              </w:rPr>
              <w:t>Податоци за членки на НЛБ Групацијата</w:t>
            </w:r>
          </w:p>
          <w:p w14:paraId="33A31618" w14:textId="77777777" w:rsidR="00BD3021" w:rsidRPr="0085597D" w:rsidRDefault="00BD3021" w:rsidP="00BD3021">
            <w:pPr>
              <w:rPr>
                <w:rFonts w:cs="Arial"/>
                <w:lang w:val="ru-RU"/>
              </w:rPr>
            </w:pPr>
          </w:p>
          <w:p w14:paraId="129374AF" w14:textId="77777777" w:rsidR="006A0B6C" w:rsidRPr="0085597D" w:rsidRDefault="00000000" w:rsidP="00580FEF">
            <w:pPr>
              <w:rPr>
                <w:lang w:val="mk-MK"/>
              </w:rPr>
            </w:pPr>
            <w:hyperlink r:id="rId8" w:history="1">
              <w:r w:rsidR="003C5189" w:rsidRPr="0085597D">
                <w:rPr>
                  <w:rStyle w:val="Hyperlink"/>
                </w:rPr>
                <w:t>http://www.nlbskupina.si/nlb-group</w:t>
              </w:r>
            </w:hyperlink>
          </w:p>
          <w:p w14:paraId="3DF00882" w14:textId="77777777" w:rsidR="003C5189" w:rsidRPr="0085597D" w:rsidRDefault="003C5189" w:rsidP="00580FEF">
            <w:pPr>
              <w:rPr>
                <w:rFonts w:cs="Arial"/>
                <w:lang w:val="mk-MK"/>
              </w:rPr>
            </w:pPr>
          </w:p>
        </w:tc>
      </w:tr>
      <w:tr w:rsidR="006A0B6C" w:rsidRPr="0085597D" w14:paraId="178F20A7" w14:textId="77777777" w:rsidTr="000B7C52">
        <w:trPr>
          <w:trHeight w:val="145"/>
        </w:trPr>
        <w:tc>
          <w:tcPr>
            <w:tcW w:w="1585" w:type="dxa"/>
            <w:vAlign w:val="center"/>
          </w:tcPr>
          <w:p w14:paraId="1240618C" w14:textId="77777777" w:rsidR="006A0B6C" w:rsidRPr="0085597D" w:rsidRDefault="00171922" w:rsidP="00580FEF">
            <w:pPr>
              <w:rPr>
                <w:rFonts w:cs="Arial"/>
                <w:b/>
                <w:lang w:val="ru-RU"/>
              </w:rPr>
            </w:pPr>
            <w:r w:rsidRPr="0085597D">
              <w:rPr>
                <w:rFonts w:cs="Arial"/>
                <w:b/>
                <w:lang w:val="mk-MK"/>
              </w:rPr>
              <w:t>Организациска структура на банкарската група</w:t>
            </w:r>
          </w:p>
        </w:tc>
        <w:tc>
          <w:tcPr>
            <w:tcW w:w="8774" w:type="dxa"/>
            <w:gridSpan w:val="3"/>
            <w:shd w:val="clear" w:color="auto" w:fill="auto"/>
            <w:vAlign w:val="center"/>
          </w:tcPr>
          <w:p w14:paraId="4AEB01BD" w14:textId="77777777" w:rsidR="00BD3021" w:rsidRPr="0085597D" w:rsidRDefault="00BD3021" w:rsidP="00BD3021">
            <w:pPr>
              <w:rPr>
                <w:rFonts w:cs="Arial"/>
                <w:lang w:val="ru-RU"/>
              </w:rPr>
            </w:pPr>
          </w:p>
          <w:p w14:paraId="34AE8D3F" w14:textId="77777777" w:rsidR="00BD3021" w:rsidRPr="0085597D" w:rsidRDefault="00BD3021" w:rsidP="00BD3021">
            <w:pPr>
              <w:rPr>
                <w:rFonts w:cs="Arial"/>
                <w:lang w:val="ru-RU"/>
              </w:rPr>
            </w:pPr>
            <w:r w:rsidRPr="0085597D">
              <w:rPr>
                <w:rFonts w:cs="Arial"/>
                <w:lang w:val="mk-MK"/>
              </w:rPr>
              <w:t>Организациона шема на НЛБ Групацијата</w:t>
            </w:r>
          </w:p>
          <w:p w14:paraId="276D7EB5" w14:textId="77777777" w:rsidR="00BD3021" w:rsidRPr="0085597D" w:rsidRDefault="00BD3021" w:rsidP="00BD3021">
            <w:pPr>
              <w:rPr>
                <w:rFonts w:cs="Arial"/>
                <w:lang w:val="ru-RU"/>
              </w:rPr>
            </w:pPr>
          </w:p>
          <w:p w14:paraId="2EA2B0E9" w14:textId="77777777" w:rsidR="00BD3021" w:rsidRPr="0085597D" w:rsidRDefault="00000000" w:rsidP="00BD3021">
            <w:pPr>
              <w:rPr>
                <w:rFonts w:cs="Arial"/>
                <w:color w:val="0000FF"/>
              </w:rPr>
            </w:pPr>
            <w:hyperlink r:id="rId9" w:history="1">
              <w:r w:rsidR="00BD3021" w:rsidRPr="0085597D">
                <w:rPr>
                  <w:rStyle w:val="Hyperlink"/>
                  <w:rFonts w:cs="Arial"/>
                </w:rPr>
                <w:t>http://www.nlbskupina.si/nlb-group-companies</w:t>
              </w:r>
            </w:hyperlink>
          </w:p>
          <w:p w14:paraId="3269953D" w14:textId="77777777" w:rsidR="006A0B6C" w:rsidRPr="0085597D" w:rsidRDefault="006A0B6C" w:rsidP="00580FEF">
            <w:pPr>
              <w:rPr>
                <w:rFonts w:cs="Arial"/>
              </w:rPr>
            </w:pPr>
          </w:p>
        </w:tc>
      </w:tr>
      <w:tr w:rsidR="006711AE" w:rsidRPr="0085597D" w14:paraId="71BFBB0F" w14:textId="77777777" w:rsidTr="000B7C52">
        <w:trPr>
          <w:trHeight w:val="1607"/>
        </w:trPr>
        <w:tc>
          <w:tcPr>
            <w:tcW w:w="1585" w:type="dxa"/>
            <w:tcBorders>
              <w:bottom w:val="single" w:sz="4" w:space="0" w:color="auto"/>
            </w:tcBorders>
            <w:vAlign w:val="center"/>
          </w:tcPr>
          <w:p w14:paraId="68E451D3" w14:textId="77777777" w:rsidR="006711AE" w:rsidRPr="0085597D" w:rsidRDefault="006711AE" w:rsidP="00580FEF">
            <w:pPr>
              <w:rPr>
                <w:rFonts w:cs="Arial"/>
                <w:b/>
                <w:lang w:val="ru-RU"/>
              </w:rPr>
            </w:pPr>
            <w:r w:rsidRPr="0085597D">
              <w:rPr>
                <w:rFonts w:cs="Arial"/>
                <w:b/>
                <w:lang w:val="ru-RU"/>
              </w:rPr>
              <w:t>Учество на Банката во вкупниот број на акции и во акциите со право на глас во секој член на банкарската група</w:t>
            </w:r>
          </w:p>
        </w:tc>
        <w:tc>
          <w:tcPr>
            <w:tcW w:w="8774" w:type="dxa"/>
            <w:gridSpan w:val="3"/>
            <w:tcBorders>
              <w:bottom w:val="single" w:sz="4" w:space="0" w:color="auto"/>
            </w:tcBorders>
            <w:vAlign w:val="center"/>
          </w:tcPr>
          <w:p w14:paraId="1A23FD79" w14:textId="77777777" w:rsidR="006711AE" w:rsidRPr="00A656CC" w:rsidRDefault="006711AE" w:rsidP="00522833">
            <w:pPr>
              <w:rPr>
                <w:rFonts w:cs="Arial"/>
                <w:lang w:val="en-US"/>
              </w:rPr>
            </w:pPr>
            <w:r w:rsidRPr="00AF2E40">
              <w:rPr>
                <w:rFonts w:cs="Arial"/>
                <w:lang w:val="en-US"/>
              </w:rPr>
              <w:t>/</w:t>
            </w:r>
          </w:p>
        </w:tc>
      </w:tr>
      <w:tr w:rsidR="006711AE" w:rsidRPr="0085597D" w14:paraId="70C87283" w14:textId="77777777" w:rsidTr="000B7C52">
        <w:trPr>
          <w:trHeight w:val="460"/>
        </w:trPr>
        <w:tc>
          <w:tcPr>
            <w:tcW w:w="10359" w:type="dxa"/>
            <w:gridSpan w:val="4"/>
            <w:shd w:val="clear" w:color="auto" w:fill="92D050"/>
            <w:vAlign w:val="center"/>
          </w:tcPr>
          <w:p w14:paraId="63781FD0" w14:textId="77777777" w:rsidR="006711AE" w:rsidRPr="006E24CF" w:rsidRDefault="006711AE" w:rsidP="00580FEF">
            <w:pPr>
              <w:rPr>
                <w:rFonts w:cs="Arial"/>
                <w:b/>
                <w:bCs/>
                <w:color w:val="FFFFFF"/>
                <w:lang w:val="mk-MK"/>
              </w:rPr>
            </w:pPr>
            <w:r w:rsidRPr="006E24CF">
              <w:rPr>
                <w:rFonts w:cs="Arial"/>
                <w:b/>
                <w:bCs/>
                <w:color w:val="FFFFFF"/>
                <w:lang w:val="mk-MK"/>
              </w:rPr>
              <w:t>2. ПОДАТОЦИ</w:t>
            </w:r>
            <w:r w:rsidRPr="006E24CF">
              <w:rPr>
                <w:rFonts w:cs="Arial"/>
                <w:b/>
                <w:bCs/>
                <w:color w:val="FFFFFF"/>
                <w:lang w:val="ru-RU"/>
              </w:rPr>
              <w:t xml:space="preserve"> </w:t>
            </w:r>
            <w:r w:rsidRPr="006E24CF">
              <w:rPr>
                <w:rFonts w:cs="Arial"/>
                <w:b/>
                <w:bCs/>
                <w:color w:val="FFFFFF"/>
                <w:lang w:val="mk-MK"/>
              </w:rPr>
              <w:t>ЗА</w:t>
            </w:r>
            <w:r w:rsidRPr="006E24CF">
              <w:rPr>
                <w:rFonts w:cs="Arial"/>
                <w:b/>
                <w:bCs/>
                <w:color w:val="FFFFFF"/>
                <w:lang w:val="ru-RU"/>
              </w:rPr>
              <w:t xml:space="preserve"> </w:t>
            </w:r>
            <w:r w:rsidRPr="006E24CF">
              <w:rPr>
                <w:rFonts w:cs="Arial"/>
                <w:b/>
                <w:bCs/>
                <w:color w:val="FFFFFF"/>
                <w:lang w:val="mk-MK"/>
              </w:rPr>
              <w:t>АКЦИОНЕРСКАТА</w:t>
            </w:r>
            <w:r w:rsidRPr="006E24CF">
              <w:rPr>
                <w:rFonts w:cs="Arial"/>
                <w:b/>
                <w:bCs/>
                <w:color w:val="FFFFFF"/>
                <w:lang w:val="ru-RU"/>
              </w:rPr>
              <w:t xml:space="preserve"> </w:t>
            </w:r>
            <w:r w:rsidRPr="006E24CF">
              <w:rPr>
                <w:rFonts w:cs="Arial"/>
                <w:b/>
                <w:bCs/>
                <w:color w:val="FFFFFF"/>
                <w:lang w:val="mk-MK"/>
              </w:rPr>
              <w:t>СТРУКТУРА</w:t>
            </w:r>
            <w:r w:rsidRPr="006E24CF">
              <w:rPr>
                <w:rFonts w:cs="Arial"/>
                <w:b/>
                <w:bCs/>
                <w:color w:val="FFFFFF"/>
                <w:lang w:val="ru-RU"/>
              </w:rPr>
              <w:t xml:space="preserve"> </w:t>
            </w:r>
            <w:r w:rsidRPr="006E24CF">
              <w:rPr>
                <w:rFonts w:cs="Arial"/>
                <w:b/>
                <w:bCs/>
                <w:color w:val="FFFFFF"/>
                <w:lang w:val="mk-MK"/>
              </w:rPr>
              <w:t>НА</w:t>
            </w:r>
            <w:r w:rsidRPr="006E24CF">
              <w:rPr>
                <w:rFonts w:cs="Arial"/>
                <w:b/>
                <w:bCs/>
                <w:color w:val="FFFFFF"/>
                <w:lang w:val="ru-RU"/>
              </w:rPr>
              <w:t xml:space="preserve"> </w:t>
            </w:r>
            <w:r w:rsidRPr="006E24CF">
              <w:rPr>
                <w:rFonts w:cs="Arial"/>
                <w:b/>
                <w:bCs/>
                <w:color w:val="FFFFFF"/>
                <w:lang w:val="mk-MK"/>
              </w:rPr>
              <w:t xml:space="preserve">БАНКАТА- АКЦИОНЕРИ СО </w:t>
            </w:r>
          </w:p>
          <w:p w14:paraId="12696806" w14:textId="77777777" w:rsidR="006711AE" w:rsidRPr="006E24CF" w:rsidRDefault="006711AE" w:rsidP="00580FEF">
            <w:pPr>
              <w:rPr>
                <w:rFonts w:cs="Arial"/>
                <w:bCs/>
                <w:color w:val="FFFFFF"/>
              </w:rPr>
            </w:pPr>
            <w:r w:rsidRPr="006E24CF">
              <w:rPr>
                <w:rFonts w:cs="Arial"/>
                <w:b/>
                <w:bCs/>
                <w:color w:val="FFFFFF"/>
                <w:lang w:val="mk-MK"/>
              </w:rPr>
              <w:t xml:space="preserve">    КВАЛИФИКУВАНО УЧЕСТВО</w:t>
            </w:r>
          </w:p>
        </w:tc>
      </w:tr>
      <w:tr w:rsidR="006711AE" w:rsidRPr="0085597D" w14:paraId="5216CAE5" w14:textId="77777777" w:rsidTr="000B7C52">
        <w:trPr>
          <w:trHeight w:val="145"/>
        </w:trPr>
        <w:tc>
          <w:tcPr>
            <w:tcW w:w="1585" w:type="dxa"/>
            <w:tcBorders>
              <w:bottom w:val="single" w:sz="4" w:space="0" w:color="auto"/>
            </w:tcBorders>
            <w:vAlign w:val="center"/>
          </w:tcPr>
          <w:p w14:paraId="54DDFE9B" w14:textId="77777777" w:rsidR="006711AE" w:rsidRPr="0085597D" w:rsidRDefault="006711AE" w:rsidP="009E7382">
            <w:pPr>
              <w:rPr>
                <w:rFonts w:cs="Arial"/>
                <w:b/>
                <w:lang w:val="ru-RU"/>
              </w:rPr>
            </w:pPr>
            <w:r w:rsidRPr="0085597D">
              <w:rPr>
                <w:rFonts w:cs="Arial"/>
                <w:b/>
                <w:lang w:val="mk-MK"/>
              </w:rPr>
              <w:t>Назив на акционерот,</w:t>
            </w:r>
            <w:r w:rsidRPr="0085597D">
              <w:rPr>
                <w:rFonts w:cs="Arial"/>
                <w:b/>
                <w:lang w:val="ru-RU"/>
              </w:rPr>
              <w:t xml:space="preserve"> </w:t>
            </w:r>
            <w:r w:rsidRPr="0085597D">
              <w:rPr>
                <w:rFonts w:cs="Arial"/>
                <w:b/>
                <w:lang w:val="mk-MK"/>
              </w:rPr>
              <w:t>седиште,</w:t>
            </w:r>
            <w:r w:rsidRPr="0085597D">
              <w:rPr>
                <w:rFonts w:cs="Arial"/>
                <w:b/>
                <w:lang w:val="ru-RU"/>
              </w:rPr>
              <w:t xml:space="preserve"> </w:t>
            </w:r>
            <w:r w:rsidRPr="0085597D">
              <w:rPr>
                <w:rFonts w:cs="Arial"/>
                <w:b/>
                <w:lang w:val="mk-MK"/>
              </w:rPr>
              <w:t>правна форма,</w:t>
            </w:r>
            <w:r w:rsidRPr="0085597D">
              <w:rPr>
                <w:rFonts w:cs="Arial"/>
                <w:b/>
                <w:lang w:val="ru-RU"/>
              </w:rPr>
              <w:t xml:space="preserve"> </w:t>
            </w:r>
            <w:r w:rsidRPr="0085597D">
              <w:rPr>
                <w:rFonts w:cs="Arial"/>
                <w:b/>
                <w:lang w:val="mk-MK"/>
              </w:rPr>
              <w:t>претежна дејност</w:t>
            </w:r>
            <w:r w:rsidRPr="0085597D">
              <w:rPr>
                <w:rFonts w:cs="Arial"/>
                <w:b/>
                <w:lang w:val="ru-RU"/>
              </w:rPr>
              <w:t xml:space="preserve"> </w:t>
            </w:r>
            <w:r w:rsidRPr="0085597D">
              <w:rPr>
                <w:rFonts w:cs="Arial"/>
                <w:b/>
                <w:lang w:val="mk-MK"/>
              </w:rPr>
              <w:t>и</w:t>
            </w:r>
            <w:r w:rsidRPr="0085597D">
              <w:rPr>
                <w:rFonts w:cs="Arial"/>
                <w:b/>
                <w:lang w:val="ru-RU"/>
              </w:rPr>
              <w:t xml:space="preserve"> </w:t>
            </w:r>
            <w:r w:rsidRPr="0085597D">
              <w:rPr>
                <w:rFonts w:cs="Arial"/>
                <w:b/>
                <w:lang w:val="mk-MK"/>
              </w:rPr>
              <w:t>процент</w:t>
            </w:r>
            <w:r w:rsidRPr="0085597D">
              <w:rPr>
                <w:rFonts w:cs="Arial"/>
                <w:b/>
                <w:lang w:val="ru-RU"/>
              </w:rPr>
              <w:t xml:space="preserve"> </w:t>
            </w:r>
            <w:r w:rsidRPr="0085597D">
              <w:rPr>
                <w:rFonts w:cs="Arial"/>
                <w:b/>
                <w:lang w:val="mk-MK"/>
              </w:rPr>
              <w:t>на</w:t>
            </w:r>
            <w:r w:rsidRPr="0085597D">
              <w:rPr>
                <w:rFonts w:cs="Arial"/>
                <w:b/>
                <w:lang w:val="ru-RU"/>
              </w:rPr>
              <w:t xml:space="preserve"> </w:t>
            </w:r>
            <w:r w:rsidRPr="0085597D">
              <w:rPr>
                <w:rFonts w:cs="Arial"/>
                <w:b/>
                <w:lang w:val="mk-MK"/>
              </w:rPr>
              <w:t>учество</w:t>
            </w:r>
            <w:r w:rsidRPr="0085597D">
              <w:rPr>
                <w:rFonts w:cs="Arial"/>
                <w:b/>
                <w:lang w:val="ru-RU"/>
              </w:rPr>
              <w:t xml:space="preserve"> </w:t>
            </w:r>
            <w:r w:rsidRPr="0085597D">
              <w:rPr>
                <w:rFonts w:cs="Arial"/>
                <w:b/>
                <w:lang w:val="mk-MK"/>
              </w:rPr>
              <w:t>во</w:t>
            </w:r>
            <w:r w:rsidRPr="0085597D">
              <w:rPr>
                <w:rFonts w:cs="Arial"/>
                <w:b/>
                <w:lang w:val="ru-RU"/>
              </w:rPr>
              <w:t xml:space="preserve"> </w:t>
            </w:r>
            <w:r w:rsidRPr="0085597D">
              <w:rPr>
                <w:rFonts w:cs="Arial"/>
                <w:b/>
                <w:lang w:val="mk-MK"/>
              </w:rPr>
              <w:t>вкупниот</w:t>
            </w:r>
            <w:r w:rsidRPr="0085597D">
              <w:rPr>
                <w:rFonts w:cs="Arial"/>
                <w:b/>
                <w:lang w:val="ru-RU"/>
              </w:rPr>
              <w:t xml:space="preserve"> </w:t>
            </w:r>
            <w:r w:rsidRPr="0085597D">
              <w:rPr>
                <w:rFonts w:cs="Arial"/>
                <w:b/>
                <w:lang w:val="mk-MK"/>
              </w:rPr>
              <w:t>број</w:t>
            </w:r>
            <w:r w:rsidRPr="0085597D">
              <w:rPr>
                <w:rFonts w:cs="Arial"/>
                <w:b/>
                <w:lang w:val="ru-RU"/>
              </w:rPr>
              <w:t xml:space="preserve"> </w:t>
            </w:r>
            <w:r w:rsidRPr="0085597D">
              <w:rPr>
                <w:rFonts w:cs="Arial"/>
                <w:b/>
                <w:lang w:val="mk-MK"/>
              </w:rPr>
              <w:t>акции</w:t>
            </w:r>
            <w:r w:rsidRPr="0085597D">
              <w:rPr>
                <w:rFonts w:cs="Arial"/>
                <w:b/>
                <w:lang w:val="ru-RU"/>
              </w:rPr>
              <w:t xml:space="preserve"> </w:t>
            </w:r>
            <w:r w:rsidRPr="0085597D">
              <w:rPr>
                <w:rFonts w:cs="Arial"/>
                <w:b/>
                <w:lang w:val="mk-MK"/>
              </w:rPr>
              <w:t>и</w:t>
            </w:r>
            <w:r w:rsidRPr="0085597D">
              <w:rPr>
                <w:rFonts w:cs="Arial"/>
                <w:b/>
                <w:lang w:val="ru-RU"/>
              </w:rPr>
              <w:t xml:space="preserve"> </w:t>
            </w:r>
            <w:r w:rsidRPr="0085597D">
              <w:rPr>
                <w:rFonts w:cs="Arial"/>
                <w:b/>
                <w:lang w:val="mk-MK"/>
              </w:rPr>
              <w:t>во</w:t>
            </w:r>
          </w:p>
          <w:p w14:paraId="637D5341" w14:textId="717B3CF3" w:rsidR="006711AE" w:rsidRPr="0085597D" w:rsidRDefault="006711AE" w:rsidP="008F7446">
            <w:pPr>
              <w:rPr>
                <w:rFonts w:cs="Arial"/>
                <w:b/>
                <w:lang w:val="mk-MK"/>
              </w:rPr>
            </w:pPr>
            <w:r w:rsidRPr="0085597D">
              <w:rPr>
                <w:rFonts w:cs="Arial"/>
                <w:b/>
                <w:lang w:val="mk-MK"/>
              </w:rPr>
              <w:t>вкупниот</w:t>
            </w:r>
            <w:r w:rsidRPr="0085597D">
              <w:rPr>
                <w:rFonts w:cs="Arial"/>
                <w:b/>
                <w:lang w:val="ru-RU"/>
              </w:rPr>
              <w:t xml:space="preserve"> </w:t>
            </w:r>
            <w:r w:rsidRPr="0085597D">
              <w:rPr>
                <w:rFonts w:cs="Arial"/>
                <w:b/>
                <w:lang w:val="mk-MK"/>
              </w:rPr>
              <w:t>број</w:t>
            </w:r>
            <w:r w:rsidRPr="0085597D">
              <w:rPr>
                <w:rFonts w:cs="Arial"/>
                <w:b/>
                <w:lang w:val="ru-RU"/>
              </w:rPr>
              <w:t xml:space="preserve"> </w:t>
            </w:r>
            <w:r w:rsidRPr="0085597D">
              <w:rPr>
                <w:rFonts w:cs="Arial"/>
                <w:b/>
                <w:lang w:val="mk-MK"/>
              </w:rPr>
              <w:t>издадени</w:t>
            </w:r>
            <w:r w:rsidRPr="0085597D">
              <w:rPr>
                <w:rFonts w:cs="Arial"/>
                <w:b/>
                <w:lang w:val="ru-RU"/>
              </w:rPr>
              <w:t xml:space="preserve"> </w:t>
            </w:r>
            <w:r w:rsidRPr="0085597D">
              <w:rPr>
                <w:rFonts w:cs="Arial"/>
                <w:b/>
                <w:lang w:val="mk-MK"/>
              </w:rPr>
              <w:t>акции</w:t>
            </w:r>
            <w:r w:rsidRPr="0085597D">
              <w:rPr>
                <w:rFonts w:cs="Arial"/>
                <w:b/>
                <w:lang w:val="ru-RU"/>
              </w:rPr>
              <w:t xml:space="preserve"> </w:t>
            </w:r>
            <w:r w:rsidRPr="0085597D">
              <w:rPr>
                <w:rFonts w:cs="Arial"/>
                <w:b/>
                <w:lang w:val="mk-MK"/>
              </w:rPr>
              <w:t>со</w:t>
            </w:r>
            <w:r w:rsidRPr="0085597D">
              <w:rPr>
                <w:rFonts w:cs="Arial"/>
                <w:b/>
                <w:lang w:val="ru-RU"/>
              </w:rPr>
              <w:t xml:space="preserve"> </w:t>
            </w:r>
            <w:r w:rsidRPr="0085597D">
              <w:rPr>
                <w:rFonts w:cs="Arial"/>
                <w:b/>
                <w:lang w:val="mk-MK"/>
              </w:rPr>
              <w:lastRenderedPageBreak/>
              <w:t>право</w:t>
            </w:r>
            <w:r w:rsidRPr="0085597D">
              <w:rPr>
                <w:rFonts w:cs="Arial"/>
                <w:b/>
                <w:lang w:val="ru-RU"/>
              </w:rPr>
              <w:t xml:space="preserve"> </w:t>
            </w:r>
            <w:r w:rsidRPr="0085597D">
              <w:rPr>
                <w:rFonts w:cs="Arial"/>
                <w:b/>
                <w:lang w:val="mk-MK"/>
              </w:rPr>
              <w:t>на</w:t>
            </w:r>
            <w:r w:rsidRPr="0085597D">
              <w:rPr>
                <w:rFonts w:cs="Arial"/>
                <w:b/>
                <w:lang w:val="ru-RU"/>
              </w:rPr>
              <w:t xml:space="preserve"> </w:t>
            </w:r>
            <w:r w:rsidRPr="0085597D">
              <w:rPr>
                <w:rFonts w:cs="Arial"/>
                <w:b/>
                <w:lang w:val="mk-MK"/>
              </w:rPr>
              <w:t>глас</w:t>
            </w:r>
            <w:r w:rsidRPr="0085597D">
              <w:rPr>
                <w:rFonts w:cs="Arial"/>
                <w:b/>
                <w:lang w:val="ru-RU"/>
              </w:rPr>
              <w:t xml:space="preserve"> </w:t>
            </w:r>
            <w:r w:rsidRPr="0085597D">
              <w:rPr>
                <w:rFonts w:cs="Arial"/>
                <w:b/>
                <w:lang w:val="mk-MK"/>
              </w:rPr>
              <w:t>во</w:t>
            </w:r>
            <w:r w:rsidRPr="0085597D">
              <w:rPr>
                <w:rFonts w:cs="Arial"/>
                <w:b/>
                <w:lang w:val="ru-RU"/>
              </w:rPr>
              <w:t xml:space="preserve"> </w:t>
            </w:r>
            <w:r w:rsidRPr="0085597D">
              <w:rPr>
                <w:rFonts w:cs="Arial"/>
                <w:b/>
                <w:lang w:val="mk-MK"/>
              </w:rPr>
              <w:t xml:space="preserve">банката, со состојба </w:t>
            </w:r>
            <w:r w:rsidR="0085597D">
              <w:rPr>
                <w:rFonts w:cs="Arial"/>
                <w:b/>
                <w:lang w:val="en-US"/>
              </w:rPr>
              <w:t>31.12.20</w:t>
            </w:r>
            <w:r w:rsidR="00294063">
              <w:rPr>
                <w:rFonts w:cs="Arial"/>
                <w:b/>
                <w:lang w:val="en-US"/>
              </w:rPr>
              <w:t>2</w:t>
            </w:r>
            <w:r w:rsidR="00D64DB5">
              <w:rPr>
                <w:rFonts w:cs="Arial"/>
                <w:b/>
                <w:lang w:val="en-US"/>
              </w:rPr>
              <w:t>3</w:t>
            </w:r>
          </w:p>
        </w:tc>
        <w:tc>
          <w:tcPr>
            <w:tcW w:w="8774" w:type="dxa"/>
            <w:gridSpan w:val="3"/>
            <w:tcBorders>
              <w:bottom w:val="single" w:sz="4" w:space="0" w:color="auto"/>
            </w:tcBorders>
            <w:vAlign w:val="center"/>
          </w:tcPr>
          <w:p w14:paraId="59EFC160" w14:textId="77777777" w:rsidR="006711AE" w:rsidRPr="006E24CF" w:rsidRDefault="006711AE">
            <w:pPr>
              <w:rPr>
                <w:rFonts w:cs="Arial"/>
                <w:b/>
                <w:lang w:val="sv-SE" w:eastAsia="mk-MK"/>
              </w:rPr>
            </w:pPr>
            <w:r w:rsidRPr="006E24CF">
              <w:rPr>
                <w:rFonts w:cs="Arial"/>
                <w:b/>
                <w:lang w:val="mk-MK" w:eastAsia="mk-MK"/>
              </w:rPr>
              <w:lastRenderedPageBreak/>
              <w:t>1.</w:t>
            </w:r>
            <w:r w:rsidRPr="006E24CF">
              <w:rPr>
                <w:rFonts w:cs="Arial"/>
                <w:b/>
                <w:lang w:val="sv-SE" w:eastAsia="mk-MK"/>
              </w:rPr>
              <w:t xml:space="preserve"> </w:t>
            </w:r>
            <w:r w:rsidRPr="006E24CF">
              <w:rPr>
                <w:rFonts w:cs="Arial"/>
                <w:b/>
                <w:lang w:val="mk-MK" w:eastAsia="mk-MK"/>
              </w:rPr>
              <w:t xml:space="preserve">NOVA </w:t>
            </w:r>
            <w:r w:rsidRPr="006E24CF">
              <w:rPr>
                <w:rFonts w:cs="Arial"/>
                <w:b/>
                <w:lang w:val="sv-SE" w:eastAsia="mk-MK"/>
              </w:rPr>
              <w:t>LJ</w:t>
            </w:r>
            <w:r w:rsidRPr="006E24CF">
              <w:rPr>
                <w:rFonts w:cs="Arial"/>
                <w:b/>
                <w:lang w:val="mk-MK" w:eastAsia="mk-MK"/>
              </w:rPr>
              <w:t>UB</w:t>
            </w:r>
            <w:r w:rsidRPr="006E24CF">
              <w:rPr>
                <w:rFonts w:cs="Arial"/>
                <w:b/>
                <w:lang w:val="sv-SE" w:eastAsia="mk-MK"/>
              </w:rPr>
              <w:t>LJ</w:t>
            </w:r>
            <w:r w:rsidRPr="006E24CF">
              <w:rPr>
                <w:rFonts w:cs="Arial"/>
                <w:b/>
                <w:lang w:val="mk-MK" w:eastAsia="mk-MK"/>
              </w:rPr>
              <w:t xml:space="preserve">ANSKA BANKA </w:t>
            </w:r>
            <w:r w:rsidRPr="006E24CF">
              <w:rPr>
                <w:rFonts w:cs="Arial"/>
                <w:b/>
                <w:lang w:val="sv-SE" w:eastAsia="mk-MK"/>
              </w:rPr>
              <w:t>D</w:t>
            </w:r>
            <w:r w:rsidRPr="006E24CF">
              <w:rPr>
                <w:rFonts w:cs="Arial"/>
                <w:b/>
                <w:lang w:val="mk-MK" w:eastAsia="mk-MK"/>
              </w:rPr>
              <w:t xml:space="preserve">D </w:t>
            </w:r>
            <w:r w:rsidRPr="006E24CF">
              <w:rPr>
                <w:rFonts w:cs="Arial"/>
                <w:b/>
                <w:lang w:val="sv-SE" w:eastAsia="mk-MK"/>
              </w:rPr>
              <w:t>LJ</w:t>
            </w:r>
            <w:r w:rsidRPr="006E24CF">
              <w:rPr>
                <w:rFonts w:cs="Arial"/>
                <w:b/>
                <w:lang w:val="mk-MK" w:eastAsia="mk-MK"/>
              </w:rPr>
              <w:t>UB</w:t>
            </w:r>
            <w:r w:rsidRPr="006E24CF">
              <w:rPr>
                <w:rFonts w:cs="Arial"/>
                <w:b/>
                <w:lang w:val="sv-SE" w:eastAsia="mk-MK"/>
              </w:rPr>
              <w:t>LJ</w:t>
            </w:r>
            <w:r w:rsidRPr="006E24CF">
              <w:rPr>
                <w:rFonts w:cs="Arial"/>
                <w:b/>
                <w:lang w:val="mk-MK" w:eastAsia="mk-MK"/>
              </w:rPr>
              <w:t>ANA</w:t>
            </w:r>
          </w:p>
          <w:p w14:paraId="5DDA54C4" w14:textId="77777777" w:rsidR="006711AE" w:rsidRPr="00AF2E40" w:rsidRDefault="006711AE">
            <w:pPr>
              <w:rPr>
                <w:rFonts w:cs="Arial"/>
                <w:lang w:val="sv-SE" w:eastAsia="mk-MK"/>
              </w:rPr>
            </w:pPr>
            <w:r w:rsidRPr="006E24CF">
              <w:rPr>
                <w:rFonts w:cs="Arial"/>
                <w:b/>
                <w:lang w:val="sv-SE" w:eastAsia="mk-MK"/>
              </w:rPr>
              <w:t xml:space="preserve">  </w:t>
            </w:r>
            <w:r w:rsidRPr="006E24CF">
              <w:rPr>
                <w:rFonts w:cs="Arial"/>
                <w:b/>
                <w:lang w:val="mk-MK" w:eastAsia="mk-MK"/>
              </w:rPr>
              <w:t xml:space="preserve"> </w:t>
            </w:r>
            <w:r w:rsidRPr="006E24CF">
              <w:rPr>
                <w:rFonts w:cs="Arial"/>
                <w:b/>
                <w:lang w:val="sv-SE" w:eastAsia="mk-MK"/>
              </w:rPr>
              <w:t xml:space="preserve">  </w:t>
            </w:r>
            <w:r w:rsidRPr="00AF2E40">
              <w:rPr>
                <w:rFonts w:cs="Arial"/>
                <w:lang w:val="sv-SE" w:eastAsia="mk-MK"/>
              </w:rPr>
              <w:t>Trg republike 2</w:t>
            </w:r>
          </w:p>
          <w:p w14:paraId="1BF2DBB1" w14:textId="77777777" w:rsidR="006711AE" w:rsidRPr="00AF2E40" w:rsidRDefault="006711AE">
            <w:pPr>
              <w:rPr>
                <w:rFonts w:cs="Arial"/>
                <w:lang w:val="mk-MK" w:eastAsia="mk-MK"/>
              </w:rPr>
            </w:pPr>
            <w:r w:rsidRPr="00AF2E40">
              <w:rPr>
                <w:rFonts w:cs="Arial"/>
                <w:lang w:val="mk-MK" w:eastAsia="mk-MK"/>
              </w:rPr>
              <w:t xml:space="preserve"> </w:t>
            </w:r>
            <w:r w:rsidRPr="00AF2E40">
              <w:rPr>
                <w:rFonts w:cs="Arial"/>
                <w:lang w:val="sv-SE" w:eastAsia="mk-MK"/>
              </w:rPr>
              <w:t xml:space="preserve">    </w:t>
            </w:r>
            <w:r w:rsidRPr="00AF2E40">
              <w:rPr>
                <w:rFonts w:cs="Arial"/>
                <w:lang w:val="ru-RU" w:eastAsia="mk-MK"/>
              </w:rPr>
              <w:t xml:space="preserve">1520 </w:t>
            </w:r>
            <w:r w:rsidRPr="00AF2E40">
              <w:rPr>
                <w:rFonts w:cs="Arial"/>
                <w:lang w:val="de-DE" w:eastAsia="mk-MK"/>
              </w:rPr>
              <w:t>Ljubljana</w:t>
            </w:r>
            <w:r w:rsidRPr="00AF2E40">
              <w:rPr>
                <w:rFonts w:cs="Arial"/>
                <w:lang w:val="ru-RU" w:eastAsia="mk-MK"/>
              </w:rPr>
              <w:t xml:space="preserve">, </w:t>
            </w:r>
            <w:r w:rsidRPr="00AF2E40">
              <w:rPr>
                <w:rFonts w:cs="Arial"/>
                <w:lang w:val="de-DE" w:eastAsia="mk-MK"/>
              </w:rPr>
              <w:t>Slovenia</w:t>
            </w:r>
          </w:p>
          <w:p w14:paraId="4EE2CBC6" w14:textId="77777777" w:rsidR="006711AE" w:rsidRPr="00AF2E40" w:rsidRDefault="006711AE">
            <w:pPr>
              <w:rPr>
                <w:rFonts w:cs="Arial"/>
                <w:lang w:val="mk-MK" w:eastAsia="mk-MK"/>
              </w:rPr>
            </w:pPr>
            <w:r w:rsidRPr="00AF2E40">
              <w:rPr>
                <w:rFonts w:cs="Arial"/>
                <w:lang w:val="mk-MK" w:eastAsia="mk-MK"/>
              </w:rPr>
              <w:t xml:space="preserve">     Акционерско друштво</w:t>
            </w:r>
          </w:p>
          <w:p w14:paraId="6DB046CA" w14:textId="77777777" w:rsidR="006711AE" w:rsidRPr="00AF2E40" w:rsidRDefault="006711AE">
            <w:pPr>
              <w:rPr>
                <w:rFonts w:cs="Arial"/>
                <w:lang w:val="mk-MK" w:eastAsia="mk-MK"/>
              </w:rPr>
            </w:pPr>
            <w:r w:rsidRPr="00AF2E40">
              <w:rPr>
                <w:rFonts w:cs="Arial"/>
                <w:lang w:val="mk-MK" w:eastAsia="mk-MK"/>
              </w:rPr>
              <w:t xml:space="preserve">     Банкарство </w:t>
            </w:r>
          </w:p>
          <w:p w14:paraId="1E98A7C0" w14:textId="77777777" w:rsidR="006711AE" w:rsidRPr="00AF2E40" w:rsidRDefault="006711AE">
            <w:pPr>
              <w:rPr>
                <w:rFonts w:cs="Arial"/>
                <w:lang w:val="mk-MK" w:eastAsia="mk-MK"/>
              </w:rPr>
            </w:pPr>
          </w:p>
          <w:p w14:paraId="616827AC" w14:textId="77777777" w:rsidR="006711AE" w:rsidRPr="00AF2E40" w:rsidRDefault="006711AE">
            <w:pPr>
              <w:rPr>
                <w:rFonts w:cs="Arial"/>
                <w:lang w:val="ru-RU"/>
              </w:rPr>
            </w:pPr>
            <w:r w:rsidRPr="00AF2E40">
              <w:rPr>
                <w:rFonts w:cs="Arial"/>
                <w:lang w:val="ru-RU"/>
              </w:rPr>
              <w:t xml:space="preserve">Процент на учество во вкупен број акции на Банката: </w:t>
            </w:r>
            <w:r w:rsidRPr="00AF2E40">
              <w:rPr>
                <w:rFonts w:cs="Arial"/>
                <w:lang w:val="en-US"/>
              </w:rPr>
              <w:t>86,97</w:t>
            </w:r>
            <w:r w:rsidRPr="00AF2E40">
              <w:rPr>
                <w:rFonts w:cs="Arial"/>
                <w:lang w:val="ru-RU"/>
              </w:rPr>
              <w:t>%</w:t>
            </w:r>
          </w:p>
          <w:p w14:paraId="73C6D0CA" w14:textId="77777777" w:rsidR="006711AE" w:rsidRPr="00AF2E40" w:rsidRDefault="006711AE">
            <w:pPr>
              <w:rPr>
                <w:rFonts w:cs="Arial"/>
                <w:lang w:val="ru-RU"/>
              </w:rPr>
            </w:pPr>
            <w:r w:rsidRPr="00AF2E40">
              <w:rPr>
                <w:rFonts w:cs="Arial"/>
                <w:lang w:val="ru-RU"/>
              </w:rPr>
              <w:t xml:space="preserve">Процент на учество во вкупен број акции на со право на глас </w:t>
            </w:r>
          </w:p>
          <w:p w14:paraId="2D44D763" w14:textId="77777777" w:rsidR="006711AE" w:rsidRPr="006E24CF" w:rsidRDefault="006711AE">
            <w:pPr>
              <w:rPr>
                <w:rFonts w:cs="Arial"/>
                <w:lang w:val="de-DE"/>
              </w:rPr>
            </w:pPr>
            <w:r w:rsidRPr="00AF2E40">
              <w:rPr>
                <w:rFonts w:cs="Arial"/>
                <w:lang w:val="ru-RU"/>
              </w:rPr>
              <w:t>во</w:t>
            </w:r>
            <w:r w:rsidRPr="00AF2E40">
              <w:rPr>
                <w:rFonts w:cs="Arial"/>
                <w:lang w:val="de-DE"/>
              </w:rPr>
              <w:t xml:space="preserve"> </w:t>
            </w:r>
            <w:r w:rsidRPr="00AF2E40">
              <w:rPr>
                <w:rFonts w:cs="Arial"/>
                <w:lang w:val="ru-RU"/>
              </w:rPr>
              <w:t>Банката</w:t>
            </w:r>
            <w:r w:rsidRPr="00AF2E40">
              <w:rPr>
                <w:rFonts w:cs="Arial"/>
                <w:lang w:val="de-DE"/>
              </w:rPr>
              <w:t>: 86,97%</w:t>
            </w:r>
          </w:p>
          <w:p w14:paraId="4507AA23" w14:textId="77777777" w:rsidR="006711AE" w:rsidRPr="006E24CF" w:rsidRDefault="006711AE" w:rsidP="00920526">
            <w:pPr>
              <w:rPr>
                <w:rFonts w:cs="Arial"/>
                <w:bCs/>
              </w:rPr>
            </w:pPr>
          </w:p>
        </w:tc>
      </w:tr>
      <w:tr w:rsidR="006711AE" w:rsidRPr="0085597D" w14:paraId="1989BC34" w14:textId="77777777" w:rsidTr="000B7C52">
        <w:trPr>
          <w:trHeight w:val="513"/>
        </w:trPr>
        <w:tc>
          <w:tcPr>
            <w:tcW w:w="1585" w:type="dxa"/>
            <w:shd w:val="clear" w:color="auto" w:fill="FFFFFF"/>
            <w:vAlign w:val="center"/>
          </w:tcPr>
          <w:p w14:paraId="4F728649" w14:textId="77777777" w:rsidR="006711AE" w:rsidRPr="0085597D" w:rsidRDefault="006711AE" w:rsidP="009E7382">
            <w:pPr>
              <w:rPr>
                <w:rFonts w:cs="Arial"/>
                <w:b/>
                <w:bCs/>
                <w:lang w:val="ru-RU"/>
              </w:rPr>
            </w:pPr>
            <w:r w:rsidRPr="0085597D">
              <w:rPr>
                <w:rFonts w:cs="Arial"/>
                <w:b/>
                <w:bCs/>
                <w:lang w:val="mk-MK"/>
              </w:rPr>
              <w:t>Вкупен</w:t>
            </w:r>
            <w:r w:rsidRPr="0085597D">
              <w:rPr>
                <w:rFonts w:cs="Arial"/>
                <w:b/>
                <w:bCs/>
                <w:lang w:val="ru-RU"/>
              </w:rPr>
              <w:t xml:space="preserve"> </w:t>
            </w:r>
            <w:r w:rsidRPr="0085597D">
              <w:rPr>
                <w:rFonts w:cs="Arial"/>
                <w:b/>
                <w:bCs/>
                <w:lang w:val="mk-MK"/>
              </w:rPr>
              <w:t>број</w:t>
            </w:r>
            <w:r w:rsidRPr="0085597D">
              <w:rPr>
                <w:rFonts w:cs="Arial"/>
                <w:b/>
                <w:bCs/>
                <w:lang w:val="ru-RU"/>
              </w:rPr>
              <w:t xml:space="preserve"> </w:t>
            </w:r>
            <w:r w:rsidRPr="0085597D">
              <w:rPr>
                <w:rFonts w:cs="Arial"/>
                <w:b/>
                <w:bCs/>
                <w:lang w:val="mk-MK"/>
              </w:rPr>
              <w:t>акционери</w:t>
            </w:r>
            <w:r w:rsidRPr="0085597D">
              <w:rPr>
                <w:rFonts w:cs="Arial"/>
                <w:b/>
                <w:bCs/>
                <w:lang w:val="ru-RU"/>
              </w:rPr>
              <w:t xml:space="preserve"> </w:t>
            </w:r>
            <w:r w:rsidRPr="0085597D">
              <w:rPr>
                <w:rFonts w:cs="Arial"/>
                <w:b/>
                <w:bCs/>
                <w:lang w:val="mk-MK"/>
              </w:rPr>
              <w:t>кои</w:t>
            </w:r>
            <w:r w:rsidRPr="0085597D">
              <w:rPr>
                <w:rFonts w:cs="Arial"/>
                <w:b/>
                <w:bCs/>
                <w:lang w:val="ru-RU"/>
              </w:rPr>
              <w:t xml:space="preserve"> </w:t>
            </w:r>
            <w:r w:rsidRPr="0085597D">
              <w:rPr>
                <w:rFonts w:cs="Arial"/>
                <w:b/>
                <w:bCs/>
                <w:lang w:val="mk-MK"/>
              </w:rPr>
              <w:t>немаат</w:t>
            </w:r>
            <w:r w:rsidRPr="0085597D">
              <w:rPr>
                <w:rFonts w:cs="Arial"/>
                <w:b/>
                <w:bCs/>
                <w:lang w:val="ru-RU"/>
              </w:rPr>
              <w:t xml:space="preserve"> </w:t>
            </w:r>
            <w:r w:rsidRPr="0085597D">
              <w:rPr>
                <w:rFonts w:cs="Arial"/>
                <w:b/>
                <w:bCs/>
                <w:lang w:val="mk-MK"/>
              </w:rPr>
              <w:t>квалификувано</w:t>
            </w:r>
            <w:r w:rsidRPr="0085597D">
              <w:rPr>
                <w:rFonts w:cs="Arial"/>
                <w:b/>
                <w:bCs/>
                <w:lang w:val="ru-RU"/>
              </w:rPr>
              <w:t xml:space="preserve"> </w:t>
            </w:r>
            <w:r w:rsidRPr="0085597D">
              <w:rPr>
                <w:rFonts w:cs="Arial"/>
                <w:b/>
                <w:bCs/>
                <w:lang w:val="mk-MK"/>
              </w:rPr>
              <w:t>учество</w:t>
            </w:r>
            <w:r w:rsidRPr="0085597D">
              <w:rPr>
                <w:rFonts w:cs="Arial"/>
                <w:b/>
                <w:bCs/>
                <w:lang w:val="ru-RU"/>
              </w:rPr>
              <w:t xml:space="preserve"> </w:t>
            </w:r>
            <w:r w:rsidRPr="0085597D">
              <w:rPr>
                <w:rFonts w:cs="Arial"/>
                <w:b/>
                <w:bCs/>
                <w:lang w:val="mk-MK"/>
              </w:rPr>
              <w:t>во</w:t>
            </w:r>
            <w:r w:rsidRPr="0085597D">
              <w:rPr>
                <w:rFonts w:cs="Arial"/>
                <w:b/>
                <w:bCs/>
                <w:lang w:val="ru-RU"/>
              </w:rPr>
              <w:t xml:space="preserve"> </w:t>
            </w:r>
            <w:r w:rsidRPr="0085597D">
              <w:rPr>
                <w:rFonts w:cs="Arial"/>
                <w:b/>
                <w:bCs/>
                <w:lang w:val="mk-MK"/>
              </w:rPr>
              <w:t>банката и</w:t>
            </w:r>
            <w:r w:rsidRPr="0085597D">
              <w:rPr>
                <w:rFonts w:cs="Arial"/>
                <w:b/>
                <w:bCs/>
                <w:lang w:val="ru-RU"/>
              </w:rPr>
              <w:t xml:space="preserve"> </w:t>
            </w:r>
            <w:r w:rsidRPr="0085597D">
              <w:rPr>
                <w:rFonts w:cs="Arial"/>
                <w:b/>
                <w:bCs/>
                <w:lang w:val="mk-MK"/>
              </w:rPr>
              <w:t>нивно</w:t>
            </w:r>
            <w:r w:rsidRPr="0085597D">
              <w:rPr>
                <w:rFonts w:cs="Arial"/>
                <w:b/>
                <w:bCs/>
                <w:lang w:val="ru-RU"/>
              </w:rPr>
              <w:t xml:space="preserve"> </w:t>
            </w:r>
            <w:r w:rsidRPr="0085597D">
              <w:rPr>
                <w:rFonts w:cs="Arial"/>
                <w:b/>
                <w:bCs/>
                <w:lang w:val="mk-MK"/>
              </w:rPr>
              <w:t>вкупно</w:t>
            </w:r>
            <w:r w:rsidRPr="0085597D">
              <w:rPr>
                <w:rFonts w:cs="Arial"/>
                <w:b/>
                <w:bCs/>
                <w:lang w:val="ru-RU"/>
              </w:rPr>
              <w:t xml:space="preserve"> </w:t>
            </w:r>
            <w:r w:rsidRPr="0085597D">
              <w:rPr>
                <w:rFonts w:cs="Arial"/>
                <w:b/>
                <w:bCs/>
                <w:lang w:val="mk-MK"/>
              </w:rPr>
              <w:t>учество</w:t>
            </w:r>
            <w:r w:rsidRPr="0085597D">
              <w:rPr>
                <w:rFonts w:cs="Arial"/>
                <w:b/>
                <w:bCs/>
                <w:lang w:val="ru-RU"/>
              </w:rPr>
              <w:t xml:space="preserve"> </w:t>
            </w:r>
            <w:r w:rsidRPr="0085597D">
              <w:rPr>
                <w:rFonts w:cs="Arial"/>
                <w:b/>
                <w:bCs/>
                <w:lang w:val="mk-MK"/>
              </w:rPr>
              <w:t>во</w:t>
            </w:r>
            <w:r w:rsidRPr="0085597D">
              <w:rPr>
                <w:rFonts w:cs="Arial"/>
                <w:b/>
                <w:bCs/>
                <w:lang w:val="ru-RU"/>
              </w:rPr>
              <w:t xml:space="preserve"> </w:t>
            </w:r>
            <w:r w:rsidRPr="0085597D">
              <w:rPr>
                <w:rFonts w:cs="Arial"/>
                <w:b/>
                <w:bCs/>
                <w:lang w:val="mk-MK"/>
              </w:rPr>
              <w:t>вкупниот</w:t>
            </w:r>
            <w:r w:rsidRPr="0085597D">
              <w:rPr>
                <w:rFonts w:cs="Arial"/>
                <w:b/>
                <w:bCs/>
                <w:lang w:val="ru-RU"/>
              </w:rPr>
              <w:t xml:space="preserve"> </w:t>
            </w:r>
            <w:r w:rsidRPr="0085597D">
              <w:rPr>
                <w:rFonts w:cs="Arial"/>
                <w:b/>
                <w:bCs/>
                <w:lang w:val="mk-MK"/>
              </w:rPr>
              <w:t>број</w:t>
            </w:r>
            <w:r w:rsidRPr="0085597D">
              <w:rPr>
                <w:rFonts w:cs="Arial"/>
                <w:b/>
                <w:bCs/>
                <w:lang w:val="ru-RU"/>
              </w:rPr>
              <w:t xml:space="preserve"> </w:t>
            </w:r>
            <w:r w:rsidRPr="0085597D">
              <w:rPr>
                <w:rFonts w:cs="Arial"/>
                <w:b/>
                <w:bCs/>
                <w:lang w:val="mk-MK"/>
              </w:rPr>
              <w:t>акции</w:t>
            </w:r>
            <w:r w:rsidRPr="0085597D">
              <w:rPr>
                <w:rFonts w:cs="Arial"/>
                <w:b/>
                <w:bCs/>
                <w:lang w:val="ru-RU"/>
              </w:rPr>
              <w:t xml:space="preserve"> </w:t>
            </w:r>
            <w:r w:rsidRPr="0085597D">
              <w:rPr>
                <w:rFonts w:cs="Arial"/>
                <w:b/>
                <w:bCs/>
                <w:lang w:val="mk-MK"/>
              </w:rPr>
              <w:t>и</w:t>
            </w:r>
            <w:r w:rsidRPr="0085597D">
              <w:rPr>
                <w:rFonts w:cs="Arial"/>
                <w:b/>
                <w:bCs/>
                <w:lang w:val="ru-RU"/>
              </w:rPr>
              <w:t xml:space="preserve"> </w:t>
            </w:r>
            <w:r w:rsidRPr="0085597D">
              <w:rPr>
                <w:rFonts w:cs="Arial"/>
                <w:b/>
                <w:bCs/>
                <w:lang w:val="mk-MK"/>
              </w:rPr>
              <w:t>во</w:t>
            </w:r>
          </w:p>
          <w:p w14:paraId="77968937" w14:textId="4873F71D" w:rsidR="006711AE" w:rsidRPr="0085597D" w:rsidRDefault="006711AE" w:rsidP="00272684">
            <w:pPr>
              <w:rPr>
                <w:rFonts w:cs="Arial"/>
                <w:b/>
                <w:bCs/>
                <w:lang w:val="mk-MK"/>
              </w:rPr>
            </w:pPr>
            <w:r w:rsidRPr="0085597D">
              <w:rPr>
                <w:rFonts w:cs="Arial"/>
                <w:b/>
                <w:bCs/>
                <w:lang w:val="mk-MK"/>
              </w:rPr>
              <w:t>вкупниот</w:t>
            </w:r>
            <w:r w:rsidRPr="0085597D">
              <w:rPr>
                <w:rFonts w:cs="Arial"/>
                <w:b/>
                <w:bCs/>
                <w:lang w:val="ru-RU"/>
              </w:rPr>
              <w:t xml:space="preserve"> </w:t>
            </w:r>
            <w:r w:rsidRPr="0085597D">
              <w:rPr>
                <w:rFonts w:cs="Arial"/>
                <w:b/>
                <w:bCs/>
                <w:lang w:val="mk-MK"/>
              </w:rPr>
              <w:t>број</w:t>
            </w:r>
            <w:r w:rsidRPr="0085597D">
              <w:rPr>
                <w:rFonts w:cs="Arial"/>
                <w:b/>
                <w:bCs/>
                <w:lang w:val="ru-RU"/>
              </w:rPr>
              <w:t xml:space="preserve"> </w:t>
            </w:r>
            <w:r w:rsidRPr="0085597D">
              <w:rPr>
                <w:rFonts w:cs="Arial"/>
                <w:b/>
                <w:bCs/>
                <w:lang w:val="mk-MK"/>
              </w:rPr>
              <w:t>издадени</w:t>
            </w:r>
            <w:r w:rsidRPr="0085597D">
              <w:rPr>
                <w:rFonts w:cs="Arial"/>
                <w:b/>
                <w:bCs/>
                <w:lang w:val="ru-RU"/>
              </w:rPr>
              <w:t xml:space="preserve"> </w:t>
            </w:r>
            <w:r w:rsidRPr="0085597D">
              <w:rPr>
                <w:rFonts w:cs="Arial"/>
                <w:b/>
                <w:bCs/>
                <w:lang w:val="mk-MK"/>
              </w:rPr>
              <w:t>акции</w:t>
            </w:r>
            <w:r w:rsidRPr="0085597D">
              <w:rPr>
                <w:rFonts w:cs="Arial"/>
                <w:b/>
                <w:bCs/>
                <w:lang w:val="ru-RU"/>
              </w:rPr>
              <w:t xml:space="preserve"> </w:t>
            </w:r>
            <w:r w:rsidRPr="0085597D">
              <w:rPr>
                <w:rFonts w:cs="Arial"/>
                <w:b/>
                <w:bCs/>
                <w:lang w:val="mk-MK"/>
              </w:rPr>
              <w:t>со</w:t>
            </w:r>
            <w:r w:rsidRPr="0085597D">
              <w:rPr>
                <w:rFonts w:cs="Arial"/>
                <w:b/>
                <w:bCs/>
                <w:lang w:val="ru-RU"/>
              </w:rPr>
              <w:t xml:space="preserve"> </w:t>
            </w:r>
            <w:r w:rsidRPr="0085597D">
              <w:rPr>
                <w:rFonts w:cs="Arial"/>
                <w:b/>
                <w:bCs/>
                <w:lang w:val="mk-MK"/>
              </w:rPr>
              <w:t>право</w:t>
            </w:r>
            <w:r w:rsidRPr="0085597D">
              <w:rPr>
                <w:rFonts w:cs="Arial"/>
                <w:b/>
                <w:bCs/>
                <w:lang w:val="ru-RU"/>
              </w:rPr>
              <w:t xml:space="preserve"> </w:t>
            </w:r>
            <w:r w:rsidRPr="0085597D">
              <w:rPr>
                <w:rFonts w:cs="Arial"/>
                <w:b/>
                <w:bCs/>
                <w:lang w:val="mk-MK"/>
              </w:rPr>
              <w:t>на</w:t>
            </w:r>
            <w:r w:rsidRPr="0085597D">
              <w:rPr>
                <w:rFonts w:cs="Arial"/>
                <w:b/>
                <w:bCs/>
                <w:lang w:val="ru-RU"/>
              </w:rPr>
              <w:t xml:space="preserve"> </w:t>
            </w:r>
            <w:r w:rsidRPr="0085597D">
              <w:rPr>
                <w:rFonts w:cs="Arial"/>
                <w:b/>
                <w:bCs/>
                <w:lang w:val="mk-MK"/>
              </w:rPr>
              <w:t>глас</w:t>
            </w:r>
            <w:r w:rsidRPr="0085597D">
              <w:rPr>
                <w:rFonts w:cs="Arial"/>
                <w:b/>
                <w:bCs/>
                <w:lang w:val="ru-RU"/>
              </w:rPr>
              <w:t xml:space="preserve"> </w:t>
            </w:r>
            <w:r w:rsidRPr="0085597D">
              <w:rPr>
                <w:rFonts w:cs="Arial"/>
                <w:b/>
                <w:bCs/>
                <w:lang w:val="mk-MK"/>
              </w:rPr>
              <w:t>во</w:t>
            </w:r>
            <w:r w:rsidRPr="0085597D">
              <w:rPr>
                <w:rFonts w:cs="Arial"/>
                <w:b/>
                <w:bCs/>
                <w:lang w:val="ru-RU"/>
              </w:rPr>
              <w:t xml:space="preserve"> </w:t>
            </w:r>
            <w:r w:rsidRPr="0085597D">
              <w:rPr>
                <w:rFonts w:cs="Arial"/>
                <w:b/>
                <w:bCs/>
                <w:lang w:val="mk-MK"/>
              </w:rPr>
              <w:t>банката,</w:t>
            </w:r>
            <w:r w:rsidRPr="0085597D">
              <w:rPr>
                <w:rFonts w:cs="Arial"/>
                <w:b/>
                <w:lang w:val="mk-MK"/>
              </w:rPr>
              <w:t xml:space="preserve"> со состојба </w:t>
            </w:r>
            <w:r w:rsidR="0085597D">
              <w:rPr>
                <w:rFonts w:cs="Arial"/>
                <w:b/>
                <w:lang w:val="en-US"/>
              </w:rPr>
              <w:t>31.12.20</w:t>
            </w:r>
            <w:r w:rsidR="00294063">
              <w:rPr>
                <w:rFonts w:cs="Arial"/>
                <w:b/>
                <w:lang w:val="en-US"/>
              </w:rPr>
              <w:t>23</w:t>
            </w:r>
          </w:p>
        </w:tc>
        <w:tc>
          <w:tcPr>
            <w:tcW w:w="8774" w:type="dxa"/>
            <w:gridSpan w:val="3"/>
            <w:shd w:val="clear" w:color="auto" w:fill="FFFFFF"/>
            <w:vAlign w:val="center"/>
          </w:tcPr>
          <w:p w14:paraId="7C4D662D" w14:textId="77777777" w:rsidR="00294063" w:rsidRPr="006E24CF" w:rsidRDefault="00294063" w:rsidP="00294063">
            <w:pPr>
              <w:rPr>
                <w:rFonts w:cs="Arial"/>
                <w:bCs/>
                <w:lang w:val="ru-RU"/>
              </w:rPr>
            </w:pPr>
            <w:r w:rsidRPr="006E24CF">
              <w:rPr>
                <w:rFonts w:cs="Arial"/>
                <w:bCs/>
                <w:lang w:val="mk-MK"/>
              </w:rPr>
              <w:t xml:space="preserve">Број на акционери кои немаат квалификувано учество </w:t>
            </w:r>
          </w:p>
          <w:p w14:paraId="4055BC37" w14:textId="77777777" w:rsidR="00294063" w:rsidRPr="006E24CF" w:rsidRDefault="00294063" w:rsidP="00294063">
            <w:pPr>
              <w:rPr>
                <w:rFonts w:cs="Arial"/>
                <w:bCs/>
                <w:lang w:val="mk-MK"/>
              </w:rPr>
            </w:pPr>
            <w:r w:rsidRPr="006E24CF">
              <w:rPr>
                <w:rFonts w:cs="Arial"/>
                <w:bCs/>
                <w:lang w:val="mk-MK"/>
              </w:rPr>
              <w:t xml:space="preserve">во Банката </w:t>
            </w:r>
          </w:p>
          <w:p w14:paraId="71FE2FA4" w14:textId="77777777" w:rsidR="00580673" w:rsidRPr="00EB44C4" w:rsidRDefault="00580673" w:rsidP="00580673">
            <w:pPr>
              <w:rPr>
                <w:rFonts w:cs="Arial"/>
                <w:b/>
                <w:bCs/>
                <w:lang w:val="mk-MK"/>
              </w:rPr>
            </w:pPr>
            <w:r w:rsidRPr="00580673">
              <w:rPr>
                <w:rFonts w:cs="Arial"/>
                <w:b/>
                <w:bCs/>
                <w:lang w:val="en-GB"/>
              </w:rPr>
              <w:t>11</w:t>
            </w:r>
            <w:r>
              <w:rPr>
                <w:rFonts w:cs="Arial"/>
                <w:b/>
                <w:bCs/>
                <w:lang w:val="mk-MK"/>
              </w:rPr>
              <w:t>21</w:t>
            </w:r>
          </w:p>
          <w:p w14:paraId="2775F44A" w14:textId="77777777" w:rsidR="00294063" w:rsidRPr="006E24CF" w:rsidRDefault="00294063" w:rsidP="00294063">
            <w:pPr>
              <w:rPr>
                <w:rFonts w:cs="Arial"/>
                <w:b/>
                <w:bCs/>
                <w:lang w:val="en-GB"/>
              </w:rPr>
            </w:pPr>
          </w:p>
          <w:p w14:paraId="7329800A" w14:textId="77777777" w:rsidR="00294063" w:rsidRPr="00AF2E40" w:rsidRDefault="00294063" w:rsidP="00294063">
            <w:pPr>
              <w:rPr>
                <w:rFonts w:cs="Arial"/>
                <w:bCs/>
                <w:lang w:val="mk-MK"/>
              </w:rPr>
            </w:pPr>
            <w:r w:rsidRPr="00AF2E40">
              <w:rPr>
                <w:rFonts w:cs="Arial"/>
                <w:bCs/>
                <w:lang w:val="mk-MK"/>
              </w:rPr>
              <w:t>Учество во вкупниот број акции издадени од Банката</w:t>
            </w:r>
          </w:p>
          <w:p w14:paraId="1A21F293" w14:textId="77777777" w:rsidR="00294063" w:rsidRPr="00AF2E40" w:rsidRDefault="00294063" w:rsidP="00294063">
            <w:pPr>
              <w:rPr>
                <w:rFonts w:cs="Arial"/>
                <w:b/>
                <w:bCs/>
                <w:lang w:val="mk-MK"/>
              </w:rPr>
            </w:pPr>
            <w:r w:rsidRPr="00AF2E40">
              <w:rPr>
                <w:rFonts w:cs="Arial"/>
                <w:b/>
                <w:bCs/>
                <w:lang w:val="ru-RU"/>
              </w:rPr>
              <w:t>13</w:t>
            </w:r>
            <w:r w:rsidRPr="00AF2E40">
              <w:rPr>
                <w:rFonts w:cs="Arial"/>
                <w:b/>
                <w:bCs/>
                <w:lang w:val="mk-MK"/>
              </w:rPr>
              <w:t>,</w:t>
            </w:r>
            <w:r w:rsidRPr="00AF2E40">
              <w:rPr>
                <w:rFonts w:cs="Arial"/>
                <w:b/>
                <w:bCs/>
                <w:lang w:val="ru-RU"/>
              </w:rPr>
              <w:t>0</w:t>
            </w:r>
            <w:r w:rsidRPr="00AF2E40">
              <w:rPr>
                <w:rFonts w:cs="Arial"/>
                <w:b/>
                <w:bCs/>
                <w:lang w:val="mk-MK"/>
              </w:rPr>
              <w:t xml:space="preserve">3% </w:t>
            </w:r>
          </w:p>
          <w:p w14:paraId="2363BD75" w14:textId="77777777" w:rsidR="00294063" w:rsidRPr="00AF2E40" w:rsidRDefault="00294063" w:rsidP="00294063">
            <w:pPr>
              <w:rPr>
                <w:rFonts w:cs="Arial"/>
                <w:b/>
                <w:bCs/>
                <w:lang w:val="mk-MK"/>
              </w:rPr>
            </w:pPr>
          </w:p>
          <w:p w14:paraId="4467F2FE" w14:textId="77777777" w:rsidR="00294063" w:rsidRPr="00AF2E40" w:rsidRDefault="00294063" w:rsidP="00294063">
            <w:pPr>
              <w:rPr>
                <w:rFonts w:cs="Arial"/>
                <w:bCs/>
                <w:lang w:val="mk-MK"/>
              </w:rPr>
            </w:pPr>
            <w:r w:rsidRPr="00AF2E40">
              <w:rPr>
                <w:rFonts w:cs="Arial"/>
                <w:bCs/>
                <w:lang w:val="mk-MK"/>
              </w:rPr>
              <w:t>Учество во вкупниот број акции со право на глас издадени од Банката</w:t>
            </w:r>
          </w:p>
          <w:p w14:paraId="62E1CAAB" w14:textId="77777777" w:rsidR="00294063" w:rsidRPr="00AF2E40" w:rsidRDefault="00294063" w:rsidP="00294063">
            <w:pPr>
              <w:rPr>
                <w:rFonts w:cs="Arial"/>
                <w:bCs/>
                <w:lang w:val="mk-MK"/>
              </w:rPr>
            </w:pPr>
            <w:r w:rsidRPr="00AF2E40">
              <w:rPr>
                <w:rFonts w:cs="Arial"/>
                <w:b/>
                <w:bCs/>
                <w:lang w:val="mk-MK"/>
              </w:rPr>
              <w:t>111.257 акции (</w:t>
            </w:r>
            <w:r w:rsidRPr="00AF2E40">
              <w:rPr>
                <w:rFonts w:cs="Arial"/>
                <w:bCs/>
                <w:lang w:val="mk-MK"/>
              </w:rPr>
              <w:t xml:space="preserve">од кои </w:t>
            </w:r>
            <w:r w:rsidRPr="00AF2E40">
              <w:rPr>
                <w:rFonts w:cs="Arial"/>
                <w:bCs/>
                <w:lang w:val="en-US"/>
              </w:rPr>
              <w:t>796</w:t>
            </w:r>
            <w:r w:rsidRPr="00AF2E40">
              <w:rPr>
                <w:rFonts w:cs="Arial"/>
                <w:bCs/>
                <w:lang w:val="mk-MK"/>
              </w:rPr>
              <w:t xml:space="preserve"> акции на дадениот датум немаат право на глас)</w:t>
            </w:r>
          </w:p>
          <w:p w14:paraId="0B28FE81" w14:textId="77777777" w:rsidR="00294063" w:rsidRPr="00AF2E40" w:rsidRDefault="00294063" w:rsidP="00294063">
            <w:pPr>
              <w:rPr>
                <w:rFonts w:cs="Arial"/>
                <w:b/>
                <w:bCs/>
                <w:lang w:val="mk-MK"/>
              </w:rPr>
            </w:pPr>
          </w:p>
          <w:p w14:paraId="3EB8626C" w14:textId="77777777" w:rsidR="00294063" w:rsidRPr="00AF2E40" w:rsidRDefault="00294063" w:rsidP="00294063">
            <w:pPr>
              <w:rPr>
                <w:rFonts w:cs="Arial"/>
                <w:bCs/>
                <w:lang w:val="mk-MK"/>
              </w:rPr>
            </w:pPr>
            <w:r w:rsidRPr="00AF2E40">
              <w:rPr>
                <w:rFonts w:cs="Arial"/>
                <w:bCs/>
                <w:lang w:val="mk-MK"/>
              </w:rPr>
              <w:t>Учество во вкупниот број акции со право на глас издадени од Банката</w:t>
            </w:r>
          </w:p>
          <w:p w14:paraId="42A48E9E" w14:textId="77777777" w:rsidR="00294063" w:rsidRPr="006E24CF" w:rsidRDefault="00294063" w:rsidP="00294063">
            <w:pPr>
              <w:rPr>
                <w:rFonts w:cs="Arial"/>
                <w:b/>
                <w:bCs/>
                <w:lang w:val="mk-MK"/>
              </w:rPr>
            </w:pPr>
            <w:r w:rsidRPr="00AF2E40">
              <w:rPr>
                <w:rFonts w:cs="Arial"/>
                <w:b/>
                <w:bCs/>
                <w:lang w:val="ru-RU"/>
              </w:rPr>
              <w:t>13,</w:t>
            </w:r>
            <w:r w:rsidRPr="00AF2E40">
              <w:rPr>
                <w:rFonts w:cs="Arial"/>
                <w:b/>
                <w:bCs/>
                <w:lang w:val="en-US"/>
              </w:rPr>
              <w:t>0</w:t>
            </w:r>
            <w:r w:rsidRPr="00AF2E40">
              <w:rPr>
                <w:rFonts w:cs="Arial"/>
                <w:b/>
                <w:bCs/>
                <w:lang w:val="mk-MK"/>
              </w:rPr>
              <w:t>3%</w:t>
            </w:r>
          </w:p>
          <w:p w14:paraId="723FED91" w14:textId="77777777" w:rsidR="006711AE" w:rsidRPr="006E24CF" w:rsidRDefault="006711AE" w:rsidP="00920526">
            <w:pPr>
              <w:rPr>
                <w:rFonts w:cs="Arial"/>
                <w:bCs/>
                <w:lang w:val="mk-MK"/>
              </w:rPr>
            </w:pPr>
          </w:p>
        </w:tc>
      </w:tr>
      <w:tr w:rsidR="003D0DCB" w:rsidRPr="0085597D" w14:paraId="0DEC90D1" w14:textId="77777777" w:rsidTr="000B7C52">
        <w:trPr>
          <w:trHeight w:val="513"/>
        </w:trPr>
        <w:tc>
          <w:tcPr>
            <w:tcW w:w="10359" w:type="dxa"/>
            <w:gridSpan w:val="4"/>
            <w:shd w:val="clear" w:color="auto" w:fill="92D050"/>
            <w:vAlign w:val="center"/>
          </w:tcPr>
          <w:p w14:paraId="5405D95A" w14:textId="77777777" w:rsidR="003D0DCB" w:rsidRPr="0085597D" w:rsidRDefault="00567284" w:rsidP="008B0175">
            <w:pPr>
              <w:rPr>
                <w:rFonts w:cs="Arial"/>
                <w:b/>
                <w:bCs/>
                <w:color w:val="FFFFFF" w:themeColor="background1"/>
                <w:lang w:val="mk-MK"/>
              </w:rPr>
            </w:pPr>
            <w:r w:rsidRPr="0085597D">
              <w:rPr>
                <w:rFonts w:cs="Arial"/>
                <w:b/>
                <w:bCs/>
                <w:color w:val="FFFFFF"/>
                <w:lang w:val="mk-MK"/>
              </w:rPr>
              <w:t>3</w:t>
            </w:r>
            <w:r w:rsidRPr="0085597D">
              <w:rPr>
                <w:rFonts w:cs="Arial"/>
                <w:b/>
                <w:bCs/>
                <w:color w:val="FFFFFF" w:themeColor="background1"/>
                <w:lang w:val="mk-MK"/>
              </w:rPr>
              <w:t xml:space="preserve">. ПОДАТОЦИ ЗА СОПСТВЕНИТЕ СРЕДСТВА И ЗА АДЕКВАТНОСТА НА КАПИТАЛОТ НА </w:t>
            </w:r>
          </w:p>
          <w:p w14:paraId="7F702FF4" w14:textId="77777777" w:rsidR="003D0DCB" w:rsidRPr="0085597D" w:rsidRDefault="00567284" w:rsidP="008B0175">
            <w:pPr>
              <w:rPr>
                <w:rFonts w:cs="Arial"/>
                <w:b/>
                <w:bCs/>
                <w:color w:val="FFFFFF"/>
                <w:lang w:val="mk-MK"/>
              </w:rPr>
            </w:pPr>
            <w:r w:rsidRPr="0085597D">
              <w:rPr>
                <w:rFonts w:cs="Arial"/>
                <w:b/>
                <w:bCs/>
                <w:color w:val="FFFFFF" w:themeColor="background1"/>
                <w:lang w:val="mk-MK"/>
              </w:rPr>
              <w:t xml:space="preserve">    БАНКАТА</w:t>
            </w:r>
          </w:p>
        </w:tc>
      </w:tr>
      <w:tr w:rsidR="003D0DCB" w:rsidRPr="0085597D" w14:paraId="4B289A85" w14:textId="77777777" w:rsidTr="000B7C52">
        <w:trPr>
          <w:trHeight w:val="389"/>
        </w:trPr>
        <w:tc>
          <w:tcPr>
            <w:tcW w:w="1585" w:type="dxa"/>
            <w:vAlign w:val="center"/>
          </w:tcPr>
          <w:p w14:paraId="477C4810" w14:textId="77777777" w:rsidR="003D0DCB" w:rsidRPr="0085597D" w:rsidRDefault="00567284" w:rsidP="008B0175">
            <w:pPr>
              <w:rPr>
                <w:rFonts w:cs="Arial"/>
                <w:b/>
                <w:lang w:val="mk-MK"/>
              </w:rPr>
            </w:pPr>
            <w:r w:rsidRPr="0085597D">
              <w:rPr>
                <w:rFonts w:cs="Arial"/>
                <w:b/>
                <w:lang w:val="mk-MK"/>
              </w:rPr>
              <w:t>Износот на почетниот капитал кој е запишан во Централниот</w:t>
            </w:r>
          </w:p>
          <w:p w14:paraId="05E5791D" w14:textId="77777777" w:rsidR="003D0DCB" w:rsidRPr="0085597D" w:rsidRDefault="00567284" w:rsidP="008B0175">
            <w:pPr>
              <w:rPr>
                <w:rFonts w:cs="Arial"/>
                <w:b/>
                <w:lang w:val="en-US"/>
              </w:rPr>
            </w:pPr>
            <w:r w:rsidRPr="0085597D">
              <w:rPr>
                <w:rFonts w:cs="Arial"/>
                <w:b/>
                <w:lang w:val="mk-MK"/>
              </w:rPr>
              <w:t>регистар</w:t>
            </w:r>
          </w:p>
        </w:tc>
        <w:tc>
          <w:tcPr>
            <w:tcW w:w="8774" w:type="dxa"/>
            <w:gridSpan w:val="3"/>
            <w:vAlign w:val="center"/>
          </w:tcPr>
          <w:p w14:paraId="4F640535" w14:textId="6798CBF6" w:rsidR="003D0DCB" w:rsidRPr="00AF2E40" w:rsidRDefault="000B7C52" w:rsidP="008B0175">
            <w:pPr>
              <w:rPr>
                <w:rFonts w:cs="Arial"/>
                <w:lang w:val="mk-MK"/>
              </w:rPr>
            </w:pPr>
            <w:r w:rsidRPr="00AF2E40">
              <w:rPr>
                <w:rFonts w:cs="Arial"/>
                <w:lang w:val="en-US"/>
              </w:rPr>
              <w:t>854</w:t>
            </w:r>
            <w:r w:rsidRPr="00AF2E40">
              <w:rPr>
                <w:rFonts w:cs="Arial"/>
                <w:lang w:val="ru-RU"/>
              </w:rPr>
              <w:t>.</w:t>
            </w:r>
            <w:r w:rsidRPr="00AF2E40">
              <w:rPr>
                <w:rFonts w:cs="Arial"/>
                <w:lang w:val="en-US"/>
              </w:rPr>
              <w:t>061.000</w:t>
            </w:r>
            <w:r w:rsidRPr="00AF2E40">
              <w:rPr>
                <w:rFonts w:cs="Arial"/>
                <w:lang w:val="mk-MK"/>
              </w:rPr>
              <w:t>,00 МКД</w:t>
            </w:r>
          </w:p>
        </w:tc>
      </w:tr>
      <w:tr w:rsidR="004116B0" w:rsidRPr="0085597D" w14:paraId="1717BB8C" w14:textId="77777777" w:rsidTr="000B7C52">
        <w:trPr>
          <w:trHeight w:val="524"/>
        </w:trPr>
        <w:tc>
          <w:tcPr>
            <w:tcW w:w="1585" w:type="dxa"/>
            <w:vAlign w:val="center"/>
          </w:tcPr>
          <w:p w14:paraId="6FBCB91B" w14:textId="77777777" w:rsidR="004116B0" w:rsidRPr="0085597D" w:rsidRDefault="004116B0" w:rsidP="008B0175">
            <w:pPr>
              <w:rPr>
                <w:rFonts w:cs="Arial"/>
                <w:b/>
                <w:lang w:val="ru-RU"/>
              </w:rPr>
            </w:pPr>
            <w:r w:rsidRPr="0085597D">
              <w:rPr>
                <w:rFonts w:cs="Arial"/>
                <w:b/>
                <w:lang w:val="mk-MK" w:eastAsia="en-GB"/>
              </w:rPr>
              <w:t>Бројот</w:t>
            </w:r>
            <w:r w:rsidRPr="0085597D">
              <w:rPr>
                <w:rFonts w:cs="Arial"/>
                <w:b/>
                <w:lang w:val="ru-RU" w:eastAsia="en-GB"/>
              </w:rPr>
              <w:t xml:space="preserve"> </w:t>
            </w:r>
            <w:r w:rsidRPr="0085597D">
              <w:rPr>
                <w:rFonts w:cs="Arial"/>
                <w:b/>
                <w:lang w:val="mk-MK" w:eastAsia="en-GB"/>
              </w:rPr>
              <w:t>на</w:t>
            </w:r>
            <w:r w:rsidRPr="0085597D">
              <w:rPr>
                <w:rFonts w:cs="Arial"/>
                <w:b/>
                <w:lang w:val="ru-RU" w:eastAsia="en-GB"/>
              </w:rPr>
              <w:t xml:space="preserve"> </w:t>
            </w:r>
            <w:r w:rsidRPr="0085597D">
              <w:rPr>
                <w:rFonts w:cs="Arial"/>
                <w:b/>
                <w:lang w:val="mk-MK" w:eastAsia="en-GB"/>
              </w:rPr>
              <w:t>акциите</w:t>
            </w:r>
            <w:r w:rsidRPr="0085597D">
              <w:rPr>
                <w:rFonts w:cs="Arial"/>
                <w:b/>
                <w:lang w:val="ru-RU" w:eastAsia="en-GB"/>
              </w:rPr>
              <w:t xml:space="preserve"> </w:t>
            </w:r>
            <w:r w:rsidRPr="0085597D">
              <w:rPr>
                <w:rFonts w:cs="Arial"/>
                <w:b/>
                <w:lang w:val="mk-MK" w:eastAsia="en-GB"/>
              </w:rPr>
              <w:t>од</w:t>
            </w:r>
            <w:r w:rsidRPr="0085597D">
              <w:rPr>
                <w:rFonts w:cs="Arial"/>
                <w:b/>
                <w:lang w:val="ru-RU" w:eastAsia="en-GB"/>
              </w:rPr>
              <w:t xml:space="preserve"> </w:t>
            </w:r>
            <w:r w:rsidRPr="0085597D">
              <w:rPr>
                <w:rFonts w:cs="Arial"/>
                <w:b/>
                <w:lang w:val="mk-MK" w:eastAsia="en-GB"/>
              </w:rPr>
              <w:t>секој</w:t>
            </w:r>
            <w:r w:rsidRPr="0085597D">
              <w:rPr>
                <w:rFonts w:cs="Arial"/>
                <w:b/>
                <w:lang w:val="ru-RU" w:eastAsia="en-GB"/>
              </w:rPr>
              <w:t xml:space="preserve"> </w:t>
            </w:r>
            <w:r w:rsidRPr="0085597D">
              <w:rPr>
                <w:rFonts w:cs="Arial"/>
                <w:b/>
                <w:lang w:val="mk-MK" w:eastAsia="en-GB"/>
              </w:rPr>
              <w:t>род</w:t>
            </w:r>
            <w:r w:rsidRPr="0085597D">
              <w:rPr>
                <w:rFonts w:cs="Arial"/>
                <w:b/>
                <w:lang w:val="ru-RU" w:eastAsia="en-GB"/>
              </w:rPr>
              <w:t xml:space="preserve"> </w:t>
            </w:r>
            <w:r w:rsidRPr="0085597D">
              <w:rPr>
                <w:rFonts w:cs="Arial"/>
                <w:b/>
                <w:lang w:val="mk-MK" w:eastAsia="en-GB"/>
              </w:rPr>
              <w:t>и</w:t>
            </w:r>
            <w:r w:rsidRPr="0085597D">
              <w:rPr>
                <w:rFonts w:cs="Arial"/>
                <w:b/>
                <w:lang w:val="ru-RU" w:eastAsia="en-GB"/>
              </w:rPr>
              <w:t xml:space="preserve"> </w:t>
            </w:r>
            <w:r w:rsidRPr="0085597D">
              <w:rPr>
                <w:rFonts w:cs="Arial"/>
                <w:b/>
                <w:lang w:val="mk-MK" w:eastAsia="en-GB"/>
              </w:rPr>
              <w:t>класа,</w:t>
            </w:r>
            <w:r w:rsidRPr="0085597D">
              <w:rPr>
                <w:rFonts w:cs="Arial"/>
                <w:b/>
                <w:lang w:val="ru-RU" w:eastAsia="en-GB"/>
              </w:rPr>
              <w:t xml:space="preserve"> </w:t>
            </w:r>
            <w:r w:rsidRPr="0085597D">
              <w:rPr>
                <w:rFonts w:cs="Arial"/>
                <w:b/>
                <w:lang w:val="mk-MK" w:eastAsia="en-GB"/>
              </w:rPr>
              <w:t>како</w:t>
            </w:r>
            <w:r w:rsidRPr="0085597D">
              <w:rPr>
                <w:rFonts w:cs="Arial"/>
                <w:b/>
                <w:lang w:val="ru-RU" w:eastAsia="en-GB"/>
              </w:rPr>
              <w:t xml:space="preserve"> </w:t>
            </w:r>
            <w:r w:rsidRPr="0085597D">
              <w:rPr>
                <w:rFonts w:cs="Arial"/>
                <w:b/>
                <w:lang w:val="mk-MK" w:eastAsia="en-GB"/>
              </w:rPr>
              <w:t>и</w:t>
            </w:r>
            <w:r w:rsidRPr="0085597D">
              <w:rPr>
                <w:rFonts w:cs="Arial"/>
                <w:b/>
                <w:lang w:val="ru-RU" w:eastAsia="en-GB"/>
              </w:rPr>
              <w:t xml:space="preserve"> </w:t>
            </w:r>
            <w:r w:rsidRPr="0085597D">
              <w:rPr>
                <w:rFonts w:cs="Arial"/>
                <w:b/>
                <w:lang w:val="mk-MK" w:eastAsia="en-GB"/>
              </w:rPr>
              <w:t>номиналниот</w:t>
            </w:r>
            <w:r w:rsidRPr="0085597D">
              <w:rPr>
                <w:rFonts w:cs="Arial"/>
                <w:b/>
                <w:lang w:val="ru-RU" w:eastAsia="en-GB"/>
              </w:rPr>
              <w:t xml:space="preserve"> </w:t>
            </w:r>
            <w:r w:rsidRPr="0085597D">
              <w:rPr>
                <w:rFonts w:cs="Arial"/>
                <w:b/>
                <w:lang w:val="mk-MK" w:eastAsia="en-GB"/>
              </w:rPr>
              <w:t>износ</w:t>
            </w:r>
            <w:r w:rsidRPr="0085597D">
              <w:rPr>
                <w:rFonts w:cs="Arial"/>
                <w:b/>
                <w:lang w:val="ru-RU" w:eastAsia="en-GB"/>
              </w:rPr>
              <w:t xml:space="preserve"> </w:t>
            </w:r>
            <w:r w:rsidRPr="0085597D">
              <w:rPr>
                <w:rFonts w:cs="Arial"/>
                <w:b/>
                <w:lang w:val="mk-MK" w:eastAsia="en-GB"/>
              </w:rPr>
              <w:t>на акциите</w:t>
            </w:r>
          </w:p>
        </w:tc>
        <w:tc>
          <w:tcPr>
            <w:tcW w:w="8774" w:type="dxa"/>
            <w:gridSpan w:val="3"/>
            <w:tcBorders>
              <w:bottom w:val="single" w:sz="4" w:space="0" w:color="auto"/>
            </w:tcBorders>
            <w:vAlign w:val="center"/>
          </w:tcPr>
          <w:p w14:paraId="67E07CC4" w14:textId="77777777" w:rsidR="000B7C52" w:rsidRPr="00AF2E40" w:rsidRDefault="000B7C52" w:rsidP="000B7C52">
            <w:pPr>
              <w:rPr>
                <w:rFonts w:cs="Arial"/>
                <w:lang w:val="en-US"/>
              </w:rPr>
            </w:pPr>
            <w:r w:rsidRPr="00AF2E40">
              <w:rPr>
                <w:rFonts w:cs="Arial"/>
                <w:lang w:val="mk-MK"/>
              </w:rPr>
              <w:t xml:space="preserve">Обични акции </w:t>
            </w:r>
            <w:r w:rsidRPr="00AF2E40">
              <w:rPr>
                <w:rFonts w:cs="Arial"/>
                <w:lang w:val="ru-RU"/>
              </w:rPr>
              <w:t>854.</w:t>
            </w:r>
            <w:r w:rsidRPr="00AF2E40">
              <w:rPr>
                <w:rFonts w:cs="Arial"/>
                <w:lang w:val="en-US"/>
              </w:rPr>
              <w:t>061</w:t>
            </w:r>
          </w:p>
          <w:p w14:paraId="0A7073D0" w14:textId="2A1F63D7" w:rsidR="004116B0" w:rsidRPr="00AF2E40" w:rsidRDefault="000B7C52" w:rsidP="000B7C52">
            <w:pPr>
              <w:rPr>
                <w:rFonts w:cs="Arial"/>
                <w:lang w:val="mk-MK"/>
              </w:rPr>
            </w:pPr>
            <w:r w:rsidRPr="00AF2E40">
              <w:rPr>
                <w:rFonts w:cs="Arial"/>
                <w:lang w:val="mk-MK"/>
              </w:rPr>
              <w:t>Номинална вредност на акција 1.000,00 МКД</w:t>
            </w:r>
          </w:p>
        </w:tc>
      </w:tr>
      <w:tr w:rsidR="000B7C52" w:rsidRPr="0085597D" w14:paraId="784AB960" w14:textId="77777777" w:rsidTr="000B7C52">
        <w:tblPrEx>
          <w:tblLook w:val="0000" w:firstRow="0" w:lastRow="0" w:firstColumn="0" w:lastColumn="0" w:noHBand="0" w:noVBand="0"/>
        </w:tblPrEx>
        <w:trPr>
          <w:trHeight w:val="1301"/>
        </w:trPr>
        <w:tc>
          <w:tcPr>
            <w:tcW w:w="1585" w:type="dxa"/>
          </w:tcPr>
          <w:p w14:paraId="04829A31" w14:textId="77777777" w:rsidR="000B7C52" w:rsidRPr="0085597D" w:rsidRDefault="000B7C52" w:rsidP="000B7C52">
            <w:pPr>
              <w:ind w:left="284"/>
              <w:rPr>
                <w:rFonts w:cs="Arial"/>
                <w:lang w:val="ru-RU"/>
              </w:rPr>
            </w:pPr>
          </w:p>
          <w:p w14:paraId="21620359" w14:textId="77777777" w:rsidR="000B7C52" w:rsidRPr="0085597D" w:rsidRDefault="000B7C52" w:rsidP="000B7C52">
            <w:pPr>
              <w:rPr>
                <w:rFonts w:cs="Arial"/>
                <w:b/>
                <w:lang w:val="ru-RU"/>
              </w:rPr>
            </w:pPr>
            <w:r w:rsidRPr="0085597D">
              <w:rPr>
                <w:rFonts w:cs="Arial"/>
                <w:b/>
                <w:lang w:val="ru-RU"/>
              </w:rPr>
              <w:t>Опис на карактеристиките на основните компоненти на сопствени средства</w:t>
            </w:r>
          </w:p>
        </w:tc>
        <w:tc>
          <w:tcPr>
            <w:tcW w:w="8774" w:type="dxa"/>
            <w:gridSpan w:val="3"/>
          </w:tcPr>
          <w:p w14:paraId="68065883" w14:textId="77777777" w:rsidR="000B7C52" w:rsidRPr="00B92975" w:rsidRDefault="000B7C52" w:rsidP="000B7C52">
            <w:pPr>
              <w:autoSpaceDE w:val="0"/>
              <w:autoSpaceDN w:val="0"/>
              <w:adjustRightInd w:val="0"/>
              <w:jc w:val="both"/>
              <w:rPr>
                <w:rStyle w:val="Hyperlink"/>
                <w:rFonts w:cs="Arial"/>
                <w:lang w:val="en-US" w:eastAsia="en-GB"/>
              </w:rPr>
            </w:pPr>
          </w:p>
          <w:p w14:paraId="567E8051" w14:textId="77777777" w:rsidR="000B7C52" w:rsidRPr="00B92975" w:rsidRDefault="000B7C52" w:rsidP="000B7C52">
            <w:pPr>
              <w:autoSpaceDE w:val="0"/>
              <w:autoSpaceDN w:val="0"/>
              <w:adjustRightInd w:val="0"/>
              <w:jc w:val="both"/>
              <w:rPr>
                <w:rStyle w:val="Hyperlink"/>
                <w:rFonts w:cs="Arial"/>
                <w:lang w:val="en-US" w:eastAsia="en-GB"/>
              </w:rPr>
            </w:pPr>
          </w:p>
          <w:p w14:paraId="4E0D7E63" w14:textId="77777777" w:rsidR="000B7C52" w:rsidRPr="00B92975" w:rsidRDefault="000B7C52" w:rsidP="000B7C52">
            <w:pPr>
              <w:autoSpaceDE w:val="0"/>
              <w:autoSpaceDN w:val="0"/>
              <w:adjustRightInd w:val="0"/>
              <w:jc w:val="both"/>
              <w:rPr>
                <w:rStyle w:val="Hyperlink"/>
                <w:rFonts w:cs="Arial"/>
                <w:lang w:val="en-US" w:eastAsia="en-GB"/>
              </w:rPr>
            </w:pPr>
          </w:p>
          <w:p w14:paraId="76B6896F" w14:textId="77777777" w:rsidR="000B7C52" w:rsidRPr="00B92975" w:rsidRDefault="00000000" w:rsidP="000B7C52">
            <w:pPr>
              <w:autoSpaceDE w:val="0"/>
              <w:autoSpaceDN w:val="0"/>
              <w:adjustRightInd w:val="0"/>
              <w:jc w:val="both"/>
            </w:pPr>
            <w:hyperlink r:id="rId10" w:history="1">
              <w:r w:rsidR="000B7C52" w:rsidRPr="00B92975">
                <w:rPr>
                  <w:color w:val="0000FF"/>
                  <w:u w:val="single"/>
                </w:rPr>
                <w:t>Одлука за методологијата за утврдување на адекватноста на капиталот (nbrm.mk)</w:t>
              </w:r>
            </w:hyperlink>
          </w:p>
          <w:p w14:paraId="53C34FA0" w14:textId="77777777" w:rsidR="000B7C52" w:rsidRPr="00B92975" w:rsidRDefault="000B7C52" w:rsidP="000B7C52">
            <w:pPr>
              <w:autoSpaceDE w:val="0"/>
              <w:autoSpaceDN w:val="0"/>
              <w:adjustRightInd w:val="0"/>
              <w:jc w:val="both"/>
            </w:pPr>
          </w:p>
          <w:p w14:paraId="40181E2F" w14:textId="7E71AD5C" w:rsidR="000B7C52" w:rsidRPr="00B92975" w:rsidRDefault="00000000" w:rsidP="000B7C52">
            <w:pPr>
              <w:autoSpaceDE w:val="0"/>
              <w:autoSpaceDN w:val="0"/>
              <w:adjustRightInd w:val="0"/>
              <w:jc w:val="both"/>
              <w:rPr>
                <w:rFonts w:cs="Arial"/>
                <w:lang w:val="en-US" w:eastAsia="en-GB"/>
              </w:rPr>
            </w:pPr>
            <w:hyperlink r:id="rId11" w:history="1">
              <w:r w:rsidR="000B7C52" w:rsidRPr="00B92975">
                <w:rPr>
                  <w:rStyle w:val="Hyperlink"/>
                </w:rPr>
                <w:t>Одлука за методологијата за утврдување на адекватноста на капиталот (пречистен текст со 167.20 ).pdf (nbrm.mk)</w:t>
              </w:r>
            </w:hyperlink>
            <w:r w:rsidR="009320E4">
              <w:rPr>
                <w:rStyle w:val="Hyperlink"/>
              </w:rPr>
              <w:t>l</w:t>
            </w:r>
          </w:p>
        </w:tc>
      </w:tr>
      <w:tr w:rsidR="000B7C52" w:rsidRPr="0085597D" w14:paraId="223BCC1E" w14:textId="77777777" w:rsidTr="000B7C52">
        <w:tblPrEx>
          <w:tblLook w:val="0000" w:firstRow="0" w:lastRow="0" w:firstColumn="0" w:lastColumn="0" w:noHBand="0" w:noVBand="0"/>
        </w:tblPrEx>
        <w:trPr>
          <w:trHeight w:val="1980"/>
        </w:trPr>
        <w:tc>
          <w:tcPr>
            <w:tcW w:w="1585" w:type="dxa"/>
          </w:tcPr>
          <w:p w14:paraId="65B6A2F1" w14:textId="77777777" w:rsidR="000B7C52" w:rsidRPr="00E9403B" w:rsidRDefault="000B7C52" w:rsidP="000B7C52">
            <w:pPr>
              <w:rPr>
                <w:rFonts w:cs="Arial"/>
                <w:b/>
                <w:lang w:val="en-US"/>
              </w:rPr>
            </w:pPr>
            <w:r w:rsidRPr="0085597D">
              <w:rPr>
                <w:rFonts w:cs="Arial"/>
                <w:b/>
                <w:lang w:val="ru-RU"/>
              </w:rPr>
              <w:t xml:space="preserve">Износот и компонентите на основниот капитал, утврден согласно со Одлуката за Методологијата за утврдување </w:t>
            </w:r>
            <w:r w:rsidRPr="0085597D">
              <w:rPr>
                <w:rFonts w:cs="Arial"/>
                <w:b/>
                <w:lang w:val="ru-RU"/>
              </w:rPr>
              <w:lastRenderedPageBreak/>
              <w:t>на адекватноста на капиталот</w:t>
            </w:r>
          </w:p>
        </w:tc>
        <w:tc>
          <w:tcPr>
            <w:tcW w:w="8774" w:type="dxa"/>
            <w:gridSpan w:val="3"/>
          </w:tcPr>
          <w:p w14:paraId="54AA8DBF" w14:textId="77777777" w:rsidR="000B7C52" w:rsidRPr="00B92975" w:rsidRDefault="000B7C52" w:rsidP="000B7C52">
            <w:pPr>
              <w:rPr>
                <w:rFonts w:cs="Arial"/>
                <w:lang w:val="ru-RU"/>
              </w:rPr>
            </w:pPr>
          </w:p>
          <w:p w14:paraId="2E0CC88E" w14:textId="77777777" w:rsidR="000B7C52" w:rsidRPr="00AF2E40" w:rsidRDefault="000B7C52" w:rsidP="000B7C52">
            <w:pPr>
              <w:rPr>
                <w:rFonts w:cs="Arial"/>
                <w:lang w:val="en-US"/>
              </w:rPr>
            </w:pPr>
            <w:r w:rsidRPr="00AF2E40">
              <w:rPr>
                <w:rFonts w:cs="Arial"/>
                <w:lang w:val="mk-MK"/>
              </w:rPr>
              <w:t>Сопствените средства на Банката во износ од 16</w:t>
            </w:r>
            <w:r w:rsidRPr="00AF2E40">
              <w:rPr>
                <w:rFonts w:cs="Arial"/>
                <w:lang w:val="en-US"/>
              </w:rPr>
              <w:t>.</w:t>
            </w:r>
            <w:r w:rsidRPr="00AF2E40">
              <w:rPr>
                <w:rFonts w:cs="Arial"/>
                <w:lang w:val="mk-MK"/>
              </w:rPr>
              <w:t>553</w:t>
            </w:r>
            <w:r w:rsidRPr="00AF2E40">
              <w:rPr>
                <w:rFonts w:cs="Arial"/>
                <w:lang w:val="en-US"/>
              </w:rPr>
              <w:t>.</w:t>
            </w:r>
            <w:r w:rsidRPr="00AF2E40">
              <w:rPr>
                <w:rFonts w:cs="Arial"/>
                <w:lang w:val="mk-MK"/>
              </w:rPr>
              <w:t>816</w:t>
            </w:r>
            <w:r w:rsidRPr="00AF2E40">
              <w:rPr>
                <w:rFonts w:cs="Arial"/>
                <w:lang w:val="en-US"/>
              </w:rPr>
              <w:t xml:space="preserve"> </w:t>
            </w:r>
            <w:r w:rsidRPr="00AF2E40">
              <w:rPr>
                <w:rFonts w:cs="Arial"/>
                <w:lang w:val="mk-MK"/>
              </w:rPr>
              <w:t>илјади МКД</w:t>
            </w:r>
            <w:r w:rsidRPr="00AF2E40">
              <w:rPr>
                <w:rFonts w:cs="Arial"/>
                <w:lang w:val="ru-RU"/>
              </w:rPr>
              <w:t xml:space="preserve">  се составени од</w:t>
            </w:r>
            <w:r w:rsidRPr="00AF2E40">
              <w:rPr>
                <w:rFonts w:cs="Arial"/>
                <w:lang w:val="en-US"/>
              </w:rPr>
              <w:t>:</w:t>
            </w:r>
          </w:p>
          <w:p w14:paraId="3B76C634" w14:textId="77777777" w:rsidR="000B7C52" w:rsidRPr="00AF2E40" w:rsidRDefault="000B7C52" w:rsidP="000B7C52">
            <w:pPr>
              <w:rPr>
                <w:rFonts w:cs="Arial"/>
                <w:lang w:val="mk-MK"/>
              </w:rPr>
            </w:pPr>
            <w:r w:rsidRPr="00AF2E40">
              <w:rPr>
                <w:rFonts w:cs="Arial"/>
                <w:lang w:val="ru-RU"/>
              </w:rPr>
              <w:t>- основен капитал на Банката што изнесува 14</w:t>
            </w:r>
            <w:r w:rsidRPr="00AF2E40">
              <w:rPr>
                <w:rFonts w:cs="Arial"/>
                <w:lang w:val="en-US"/>
              </w:rPr>
              <w:t>.</w:t>
            </w:r>
            <w:r w:rsidRPr="00AF2E40">
              <w:rPr>
                <w:rFonts w:cs="Arial"/>
                <w:lang w:val="ru-RU"/>
              </w:rPr>
              <w:t>466</w:t>
            </w:r>
            <w:r w:rsidRPr="00AF2E40">
              <w:rPr>
                <w:rFonts w:cs="Arial"/>
                <w:lang w:val="en-US"/>
              </w:rPr>
              <w:t>.</w:t>
            </w:r>
            <w:r w:rsidRPr="00AF2E40">
              <w:rPr>
                <w:rFonts w:cs="Arial"/>
                <w:lang w:val="ru-RU"/>
              </w:rPr>
              <w:t>318</w:t>
            </w:r>
            <w:r w:rsidRPr="00AF2E40">
              <w:rPr>
                <w:rFonts w:cs="Arial"/>
                <w:lang w:val="en-US"/>
              </w:rPr>
              <w:t xml:space="preserve"> </w:t>
            </w:r>
            <w:r w:rsidRPr="00AF2E40">
              <w:rPr>
                <w:rFonts w:cs="Arial"/>
                <w:lang w:val="mk-MK"/>
              </w:rPr>
              <w:t>илјади МКД</w:t>
            </w:r>
            <w:r w:rsidRPr="00AF2E40">
              <w:rPr>
                <w:rFonts w:cs="Arial"/>
                <w:lang w:val="ru-RU"/>
              </w:rPr>
              <w:t xml:space="preserve"> </w:t>
            </w:r>
            <w:r w:rsidRPr="00AF2E40">
              <w:rPr>
                <w:rFonts w:cs="Arial"/>
                <w:lang w:val="mk-MK"/>
              </w:rPr>
              <w:t>и</w:t>
            </w:r>
          </w:p>
          <w:p w14:paraId="569E91D4" w14:textId="77777777" w:rsidR="000B7C52" w:rsidRPr="00AF2E40" w:rsidRDefault="000B7C52" w:rsidP="000B7C52">
            <w:pPr>
              <w:rPr>
                <w:rFonts w:cs="Arial"/>
                <w:lang w:val="mk-MK"/>
              </w:rPr>
            </w:pPr>
            <w:r w:rsidRPr="00AF2E40">
              <w:rPr>
                <w:rFonts w:cs="Arial"/>
                <w:lang w:val="mk-MK"/>
              </w:rPr>
              <w:t xml:space="preserve">- </w:t>
            </w:r>
            <w:r w:rsidRPr="00AF2E40">
              <w:rPr>
                <w:rFonts w:cs="Arial"/>
                <w:lang w:val="ru-RU"/>
              </w:rPr>
              <w:t>дополнителен капитал на Банката што изнесува 2</w:t>
            </w:r>
            <w:r w:rsidRPr="00AF2E40">
              <w:rPr>
                <w:rFonts w:cs="Arial"/>
                <w:lang w:val="en-US"/>
              </w:rPr>
              <w:t>.</w:t>
            </w:r>
            <w:r w:rsidRPr="00AF2E40">
              <w:rPr>
                <w:rFonts w:cs="Arial"/>
                <w:lang w:val="ru-RU"/>
              </w:rPr>
              <w:t>087</w:t>
            </w:r>
            <w:r w:rsidRPr="00AF2E40">
              <w:rPr>
                <w:rFonts w:cs="Arial"/>
                <w:lang w:val="en-US"/>
              </w:rPr>
              <w:t>.</w:t>
            </w:r>
            <w:r w:rsidRPr="00AF2E40">
              <w:rPr>
                <w:rFonts w:cs="Arial"/>
                <w:lang w:val="ru-RU"/>
              </w:rPr>
              <w:t>498</w:t>
            </w:r>
            <w:r w:rsidRPr="00AF2E40">
              <w:rPr>
                <w:rFonts w:cs="Arial"/>
                <w:lang w:val="en-US"/>
              </w:rPr>
              <w:t xml:space="preserve"> - </w:t>
            </w:r>
            <w:r w:rsidRPr="00AF2E40">
              <w:rPr>
                <w:rFonts w:cs="Arial"/>
                <w:lang w:val="ru-RU"/>
              </w:rPr>
              <w:t>илјади МКД.</w:t>
            </w:r>
          </w:p>
          <w:p w14:paraId="1C4D6329" w14:textId="77777777" w:rsidR="000B7C52" w:rsidRPr="00AF2E40" w:rsidRDefault="000B7C52" w:rsidP="000B7C52">
            <w:pPr>
              <w:rPr>
                <w:rFonts w:cs="Arial"/>
                <w:lang w:val="mk-MK"/>
              </w:rPr>
            </w:pPr>
          </w:p>
          <w:p w14:paraId="5FE1DA02" w14:textId="77777777" w:rsidR="000B7C52" w:rsidRPr="00AF2E40" w:rsidRDefault="000B7C52" w:rsidP="000B7C52">
            <w:pPr>
              <w:rPr>
                <w:rFonts w:cs="Arial"/>
                <w:lang w:val="en-US"/>
              </w:rPr>
            </w:pPr>
            <w:r w:rsidRPr="00AF2E40">
              <w:rPr>
                <w:rFonts w:cs="Arial"/>
                <w:lang w:val="ru-RU"/>
              </w:rPr>
              <w:t>Основниот капитал на Банката се состои од</w:t>
            </w:r>
            <w:r w:rsidRPr="00AF2E40">
              <w:rPr>
                <w:rFonts w:cs="Arial"/>
                <w:lang w:val="en-US"/>
              </w:rPr>
              <w:t>:</w:t>
            </w:r>
          </w:p>
          <w:p w14:paraId="76756ED1" w14:textId="77777777" w:rsidR="000B7C52" w:rsidRPr="00AF2E40" w:rsidRDefault="000B7C52" w:rsidP="000B7C52">
            <w:pPr>
              <w:pStyle w:val="ListParagraph"/>
              <w:numPr>
                <w:ilvl w:val="0"/>
                <w:numId w:val="6"/>
              </w:numPr>
              <w:rPr>
                <w:rFonts w:cs="Arial"/>
                <w:lang w:val="en-US"/>
              </w:rPr>
            </w:pPr>
            <w:r w:rsidRPr="00AF2E40">
              <w:rPr>
                <w:rFonts w:cs="Arial"/>
                <w:lang w:val="mk-MK"/>
              </w:rPr>
              <w:t>Редовен основен капитал</w:t>
            </w:r>
            <w:r w:rsidRPr="00AF2E40">
              <w:rPr>
                <w:rFonts w:cs="Arial"/>
                <w:lang w:val="en-US"/>
              </w:rPr>
              <w:t xml:space="preserve"> </w:t>
            </w:r>
            <w:r w:rsidRPr="00AF2E40">
              <w:rPr>
                <w:rFonts w:cs="Arial"/>
                <w:lang w:val="mk-MK"/>
              </w:rPr>
              <w:t xml:space="preserve">во износ од </w:t>
            </w:r>
            <w:r w:rsidRPr="00AF2E40">
              <w:rPr>
                <w:rFonts w:cs="Arial"/>
                <w:lang w:val="en-US"/>
              </w:rPr>
              <w:t>-</w:t>
            </w:r>
            <w:r w:rsidRPr="00AF2E40">
              <w:rPr>
                <w:rFonts w:cs="Arial"/>
                <w:lang w:val="ru-RU"/>
              </w:rPr>
              <w:t>14</w:t>
            </w:r>
            <w:r w:rsidRPr="00AF2E40">
              <w:rPr>
                <w:rFonts w:cs="Arial"/>
                <w:lang w:val="en-US"/>
              </w:rPr>
              <w:t>.</w:t>
            </w:r>
            <w:r w:rsidRPr="00AF2E40">
              <w:rPr>
                <w:rFonts w:cs="Arial"/>
                <w:lang w:val="ru-RU"/>
              </w:rPr>
              <w:t>466</w:t>
            </w:r>
            <w:r w:rsidRPr="00AF2E40">
              <w:rPr>
                <w:rFonts w:cs="Arial"/>
                <w:lang w:val="en-US"/>
              </w:rPr>
              <w:t>.</w:t>
            </w:r>
            <w:r w:rsidRPr="00AF2E40">
              <w:rPr>
                <w:rFonts w:cs="Arial"/>
                <w:lang w:val="ru-RU"/>
              </w:rPr>
              <w:t>318</w:t>
            </w:r>
            <w:r w:rsidRPr="00AF2E40">
              <w:rPr>
                <w:rFonts w:cs="Arial"/>
                <w:lang w:val="en-US"/>
              </w:rPr>
              <w:t xml:space="preserve"> </w:t>
            </w:r>
            <w:r w:rsidRPr="00AF2E40">
              <w:rPr>
                <w:rFonts w:cs="Arial"/>
                <w:lang w:val="mk-MK"/>
              </w:rPr>
              <w:t xml:space="preserve"> илјади МКД</w:t>
            </w:r>
            <w:r w:rsidRPr="00AF2E40">
              <w:rPr>
                <w:rFonts w:cs="Arial"/>
                <w:lang w:val="en-US"/>
              </w:rPr>
              <w:t xml:space="preserve">, </w:t>
            </w:r>
            <w:r w:rsidRPr="00AF2E40">
              <w:rPr>
                <w:rFonts w:cs="Arial"/>
                <w:lang w:val="mk-MK"/>
              </w:rPr>
              <w:t>кој се состои од</w:t>
            </w:r>
            <w:r w:rsidRPr="00AF2E40">
              <w:rPr>
                <w:rFonts w:cs="Arial"/>
                <w:lang w:val="en-US"/>
              </w:rPr>
              <w:t>:</w:t>
            </w:r>
          </w:p>
          <w:p w14:paraId="12293DF1" w14:textId="77777777" w:rsidR="000B7C52" w:rsidRPr="00AF2E40" w:rsidRDefault="000B7C52" w:rsidP="000B7C52">
            <w:pPr>
              <w:numPr>
                <w:ilvl w:val="0"/>
                <w:numId w:val="15"/>
              </w:numPr>
              <w:rPr>
                <w:rFonts w:cs="Arial"/>
                <w:lang w:val="mk-MK"/>
              </w:rPr>
            </w:pPr>
            <w:r w:rsidRPr="00AF2E40">
              <w:rPr>
                <w:rFonts w:cs="Arial"/>
                <w:lang w:val="mk-MK"/>
              </w:rPr>
              <w:t>Капитални инструменти во износ од 854</w:t>
            </w:r>
            <w:r w:rsidRPr="00AF2E40">
              <w:rPr>
                <w:rFonts w:cs="Arial"/>
                <w:lang w:val="en-GB"/>
              </w:rPr>
              <w:t>.</w:t>
            </w:r>
            <w:r w:rsidRPr="00AF2E40">
              <w:rPr>
                <w:rFonts w:cs="Arial"/>
                <w:lang w:val="mk-MK"/>
              </w:rPr>
              <w:t>136</w:t>
            </w:r>
            <w:r w:rsidRPr="00AF2E40">
              <w:rPr>
                <w:rFonts w:cs="Arial"/>
                <w:lang w:val="en-GB"/>
              </w:rPr>
              <w:t xml:space="preserve"> </w:t>
            </w:r>
            <w:r w:rsidRPr="00AF2E40">
              <w:rPr>
                <w:rFonts w:cs="Arial"/>
                <w:lang w:val="mk-MK"/>
              </w:rPr>
              <w:t>илјади МКД;</w:t>
            </w:r>
          </w:p>
          <w:p w14:paraId="5339FD53" w14:textId="77777777" w:rsidR="000B7C52" w:rsidRPr="00AF2E40" w:rsidRDefault="000B7C52" w:rsidP="000B7C52">
            <w:pPr>
              <w:pStyle w:val="ListParagraph"/>
              <w:numPr>
                <w:ilvl w:val="0"/>
                <w:numId w:val="15"/>
              </w:numPr>
              <w:rPr>
                <w:rFonts w:cs="Arial"/>
                <w:lang w:val="mk-MK"/>
              </w:rPr>
            </w:pPr>
            <w:r w:rsidRPr="00AF2E40">
              <w:rPr>
                <w:rFonts w:cs="Arial"/>
                <w:lang w:val="mk-MK"/>
              </w:rPr>
              <w:t xml:space="preserve">Премија од капиталните инструменти во износ 2.274.484 илјади МКД </w:t>
            </w:r>
          </w:p>
          <w:p w14:paraId="72B82A86" w14:textId="4862170A" w:rsidR="000B7C52" w:rsidRPr="00AF2E40" w:rsidRDefault="000B7C52" w:rsidP="000B7C52">
            <w:pPr>
              <w:numPr>
                <w:ilvl w:val="0"/>
                <w:numId w:val="15"/>
              </w:numPr>
              <w:rPr>
                <w:rFonts w:cs="Arial"/>
                <w:lang w:val="mk-MK"/>
              </w:rPr>
            </w:pPr>
            <w:r w:rsidRPr="00AF2E40">
              <w:rPr>
                <w:rFonts w:cs="Arial"/>
                <w:lang w:val="mk-MK"/>
              </w:rPr>
              <w:t>Задолжителна општа резерва (општ резервен фонд) во износ од 8</w:t>
            </w:r>
            <w:r w:rsidRPr="00AF2E40">
              <w:rPr>
                <w:rFonts w:cs="Arial"/>
                <w:lang w:val="en-US"/>
              </w:rPr>
              <w:t>.</w:t>
            </w:r>
            <w:r w:rsidRPr="00AF2E40">
              <w:rPr>
                <w:rFonts w:cs="Arial"/>
                <w:lang w:val="mk-MK"/>
              </w:rPr>
              <w:t>705</w:t>
            </w:r>
            <w:r w:rsidRPr="00AF2E40">
              <w:rPr>
                <w:rFonts w:cs="Arial"/>
                <w:lang w:val="en-US"/>
              </w:rPr>
              <w:t>.</w:t>
            </w:r>
            <w:r w:rsidRPr="00AF2E40">
              <w:rPr>
                <w:rFonts w:cs="Arial"/>
                <w:lang w:val="mk-MK"/>
              </w:rPr>
              <w:t>956</w:t>
            </w:r>
            <w:r w:rsidRPr="00AF2E40">
              <w:rPr>
                <w:rFonts w:cs="Arial"/>
                <w:lang w:val="en-US"/>
              </w:rPr>
              <w:t xml:space="preserve"> </w:t>
            </w:r>
            <w:r w:rsidRPr="00AF2E40">
              <w:rPr>
                <w:rFonts w:cs="Arial"/>
                <w:lang w:val="mk-MK"/>
              </w:rPr>
              <w:t xml:space="preserve"> </w:t>
            </w:r>
          </w:p>
          <w:p w14:paraId="1E443A90" w14:textId="77777777" w:rsidR="000B7C52" w:rsidRPr="00AF2E40" w:rsidRDefault="000B7C52" w:rsidP="000B7C52">
            <w:pPr>
              <w:ind w:left="780"/>
              <w:rPr>
                <w:rFonts w:cs="Arial"/>
                <w:lang w:val="mk-MK"/>
              </w:rPr>
            </w:pPr>
            <w:r w:rsidRPr="00AF2E40">
              <w:rPr>
                <w:rFonts w:cs="Arial"/>
                <w:lang w:val="mk-MK"/>
              </w:rPr>
              <w:t>илјади МКД</w:t>
            </w:r>
          </w:p>
          <w:p w14:paraId="3A875EBC" w14:textId="77777777" w:rsidR="000B7C52" w:rsidRPr="00AF2E40" w:rsidRDefault="000B7C52" w:rsidP="000B7C52">
            <w:pPr>
              <w:numPr>
                <w:ilvl w:val="0"/>
                <w:numId w:val="15"/>
              </w:numPr>
              <w:rPr>
                <w:rFonts w:cs="Arial"/>
                <w:lang w:val="mk-MK"/>
              </w:rPr>
            </w:pPr>
            <w:r w:rsidRPr="00AF2E40">
              <w:rPr>
                <w:rFonts w:cs="Arial"/>
                <w:lang w:val="mk-MK"/>
              </w:rPr>
              <w:lastRenderedPageBreak/>
              <w:t xml:space="preserve">Задржана нераспоредена добивка во износ од </w:t>
            </w:r>
            <w:r w:rsidRPr="00AF2E40">
              <w:rPr>
                <w:rFonts w:cs="Arial"/>
                <w:lang w:val="en-US"/>
              </w:rPr>
              <w:t xml:space="preserve">-2.650.308 </w:t>
            </w:r>
            <w:r w:rsidRPr="00AF2E40">
              <w:rPr>
                <w:rFonts w:cs="Arial"/>
                <w:lang w:val="mk-MK"/>
              </w:rPr>
              <w:t>илјади МКД</w:t>
            </w:r>
          </w:p>
          <w:p w14:paraId="764A2384" w14:textId="77777777" w:rsidR="000B7C52" w:rsidRPr="00AF2E40" w:rsidRDefault="000B7C52" w:rsidP="000B7C52">
            <w:pPr>
              <w:numPr>
                <w:ilvl w:val="0"/>
                <w:numId w:val="15"/>
              </w:numPr>
              <w:rPr>
                <w:rFonts w:cs="Arial"/>
                <w:lang w:val="mk-MK"/>
              </w:rPr>
            </w:pPr>
            <w:r w:rsidRPr="00AF2E40">
              <w:rPr>
                <w:rFonts w:cs="Arial"/>
                <w:lang w:val="mk-MK"/>
              </w:rPr>
              <w:t xml:space="preserve">Кумулативна сеопфатна добивка од </w:t>
            </w:r>
            <w:r w:rsidRPr="00AF2E40">
              <w:rPr>
                <w:rFonts w:cs="Arial"/>
                <w:lang w:val="en-US"/>
              </w:rPr>
              <w:t>-8.394</w:t>
            </w:r>
            <w:r w:rsidRPr="00AF2E40">
              <w:rPr>
                <w:rFonts w:cs="Arial"/>
                <w:lang w:val="mk-MK"/>
              </w:rPr>
              <w:t xml:space="preserve"> МКД</w:t>
            </w:r>
          </w:p>
          <w:p w14:paraId="15417B43" w14:textId="77777777" w:rsidR="000B7C52" w:rsidRPr="00AF2E40" w:rsidRDefault="000B7C52" w:rsidP="000B7C52">
            <w:pPr>
              <w:pStyle w:val="ListParagraph"/>
              <w:numPr>
                <w:ilvl w:val="0"/>
                <w:numId w:val="6"/>
              </w:numPr>
              <w:rPr>
                <w:rFonts w:cs="Arial"/>
                <w:lang w:val="ru-RU"/>
              </w:rPr>
            </w:pPr>
            <w:r w:rsidRPr="00AF2E40">
              <w:rPr>
                <w:rFonts w:cs="Arial"/>
                <w:lang w:val="mk-MK"/>
              </w:rPr>
              <w:t xml:space="preserve">Одбитни ставки во износ од </w:t>
            </w:r>
            <w:r w:rsidRPr="00AF2E40">
              <w:rPr>
                <w:rFonts w:cs="Arial"/>
                <w:lang w:val="en-GB"/>
              </w:rPr>
              <w:t xml:space="preserve"> 26.960</w:t>
            </w:r>
            <w:r w:rsidRPr="00AF2E40">
              <w:rPr>
                <w:rFonts w:cs="Arial"/>
                <w:lang w:val="mk-MK"/>
              </w:rPr>
              <w:t xml:space="preserve"> илјади МКД.</w:t>
            </w:r>
          </w:p>
          <w:p w14:paraId="1389A2EB" w14:textId="77777777" w:rsidR="000B7C52" w:rsidRPr="00B92975" w:rsidRDefault="000B7C52" w:rsidP="000B7C52">
            <w:pPr>
              <w:pStyle w:val="ListParagraph"/>
              <w:rPr>
                <w:rFonts w:cs="Arial"/>
                <w:lang w:val="ru-RU"/>
              </w:rPr>
            </w:pPr>
          </w:p>
        </w:tc>
      </w:tr>
      <w:tr w:rsidR="0085597D" w:rsidRPr="00B92975" w14:paraId="647E1850" w14:textId="77777777" w:rsidTr="000B7C52">
        <w:tblPrEx>
          <w:tblLook w:val="0000" w:firstRow="0" w:lastRow="0" w:firstColumn="0" w:lastColumn="0" w:noHBand="0" w:noVBand="0"/>
        </w:tblPrEx>
        <w:trPr>
          <w:trHeight w:val="1113"/>
        </w:trPr>
        <w:tc>
          <w:tcPr>
            <w:tcW w:w="1585" w:type="dxa"/>
            <w:tcBorders>
              <w:top w:val="single" w:sz="4" w:space="0" w:color="auto"/>
              <w:left w:val="single" w:sz="4" w:space="0" w:color="auto"/>
              <w:bottom w:val="single" w:sz="4" w:space="0" w:color="auto"/>
              <w:right w:val="single" w:sz="4" w:space="0" w:color="auto"/>
            </w:tcBorders>
          </w:tcPr>
          <w:p w14:paraId="6B125DF5" w14:textId="77777777" w:rsidR="0085597D" w:rsidRPr="0085597D" w:rsidRDefault="0085597D" w:rsidP="007B7A43">
            <w:pPr>
              <w:rPr>
                <w:rFonts w:cs="Arial"/>
                <w:b/>
                <w:lang w:val="ru-RU"/>
              </w:rPr>
            </w:pPr>
            <w:r w:rsidRPr="0085597D">
              <w:rPr>
                <w:rFonts w:cs="Arial"/>
                <w:b/>
                <w:lang w:val="ru-RU"/>
              </w:rPr>
              <w:lastRenderedPageBreak/>
              <w:t>Износот и компонентите на дополнителниот капитал, како и нивниот износ кој, согласно со Методологијата за утврдување на адекватноста на капиталот, може да биде дел од сопствените средства на банката</w:t>
            </w:r>
          </w:p>
        </w:tc>
        <w:tc>
          <w:tcPr>
            <w:tcW w:w="8774" w:type="dxa"/>
            <w:gridSpan w:val="3"/>
            <w:tcBorders>
              <w:top w:val="single" w:sz="4" w:space="0" w:color="auto"/>
              <w:left w:val="single" w:sz="4" w:space="0" w:color="auto"/>
              <w:bottom w:val="single" w:sz="4" w:space="0" w:color="auto"/>
              <w:right w:val="single" w:sz="4" w:space="0" w:color="auto"/>
            </w:tcBorders>
          </w:tcPr>
          <w:p w14:paraId="3AAB6FA6" w14:textId="77777777" w:rsidR="0085597D" w:rsidRPr="00B92975" w:rsidRDefault="0085597D" w:rsidP="00B8237B">
            <w:pPr>
              <w:rPr>
                <w:rFonts w:cs="Arial"/>
                <w:lang w:val="ru-RU"/>
              </w:rPr>
            </w:pPr>
          </w:p>
          <w:p w14:paraId="3A64DECC" w14:textId="77777777" w:rsidR="000B7C52" w:rsidRPr="00B92975" w:rsidRDefault="000B7C52" w:rsidP="000B7C52">
            <w:pPr>
              <w:rPr>
                <w:rFonts w:cs="Arial"/>
                <w:lang w:val="ru-RU"/>
              </w:rPr>
            </w:pPr>
          </w:p>
          <w:p w14:paraId="4AC403F0" w14:textId="77777777" w:rsidR="000B7C52" w:rsidRPr="00AF2E40" w:rsidRDefault="000B7C52" w:rsidP="000B7C52">
            <w:pPr>
              <w:rPr>
                <w:rFonts w:cs="Arial"/>
                <w:lang w:val="ru-RU"/>
              </w:rPr>
            </w:pPr>
            <w:r w:rsidRPr="00AF2E40">
              <w:rPr>
                <w:rFonts w:cs="Arial"/>
                <w:lang w:val="ru-RU"/>
              </w:rPr>
              <w:t>Дополнителниот капитал на Банката изнесува 2</w:t>
            </w:r>
            <w:r w:rsidRPr="00AF2E40">
              <w:rPr>
                <w:rFonts w:cs="Arial"/>
                <w:lang w:val="en-US"/>
              </w:rPr>
              <w:t>.</w:t>
            </w:r>
            <w:r w:rsidRPr="00AF2E40">
              <w:rPr>
                <w:rFonts w:cs="Arial"/>
                <w:lang w:val="ru-RU"/>
              </w:rPr>
              <w:t>087</w:t>
            </w:r>
            <w:r w:rsidRPr="00AF2E40">
              <w:rPr>
                <w:rFonts w:cs="Arial"/>
                <w:lang w:val="en-US"/>
              </w:rPr>
              <w:t>.</w:t>
            </w:r>
            <w:r w:rsidRPr="00AF2E40">
              <w:rPr>
                <w:rFonts w:cs="Arial"/>
                <w:lang w:val="ru-RU"/>
              </w:rPr>
              <w:t>498</w:t>
            </w:r>
            <w:r w:rsidRPr="00AF2E40">
              <w:rPr>
                <w:rFonts w:cs="Arial"/>
                <w:lang w:val="en-US"/>
              </w:rPr>
              <w:t xml:space="preserve">  </w:t>
            </w:r>
            <w:r w:rsidRPr="00AF2E40">
              <w:rPr>
                <w:rFonts w:cs="Arial"/>
                <w:lang w:val="ru-RU"/>
              </w:rPr>
              <w:t>илјади МКД и се состои од:</w:t>
            </w:r>
          </w:p>
          <w:p w14:paraId="5CD7E122" w14:textId="77777777" w:rsidR="000B7C52" w:rsidRPr="00B92975" w:rsidRDefault="000B7C52" w:rsidP="000B7C52">
            <w:pPr>
              <w:rPr>
                <w:rFonts w:cs="Arial"/>
                <w:lang w:val="ru-RU"/>
              </w:rPr>
            </w:pPr>
            <w:r w:rsidRPr="00AF2E40">
              <w:rPr>
                <w:rFonts w:cs="Arial"/>
                <w:lang w:val="ru-RU"/>
              </w:rPr>
              <w:t>-субординирани инструменти во износ од 2</w:t>
            </w:r>
            <w:r w:rsidRPr="00AF2E40">
              <w:rPr>
                <w:rFonts w:cs="Arial"/>
                <w:lang w:val="en-US"/>
              </w:rPr>
              <w:t>.</w:t>
            </w:r>
            <w:r w:rsidRPr="00AF2E40">
              <w:rPr>
                <w:rFonts w:cs="Arial"/>
                <w:lang w:val="ru-RU"/>
              </w:rPr>
              <w:t>087</w:t>
            </w:r>
            <w:r w:rsidRPr="00AF2E40">
              <w:rPr>
                <w:rFonts w:cs="Arial"/>
                <w:lang w:val="en-US"/>
              </w:rPr>
              <w:t>.</w:t>
            </w:r>
            <w:r w:rsidRPr="00AF2E40">
              <w:rPr>
                <w:rFonts w:cs="Arial"/>
                <w:lang w:val="ru-RU"/>
              </w:rPr>
              <w:t>498</w:t>
            </w:r>
            <w:r w:rsidRPr="00AF2E40">
              <w:rPr>
                <w:rFonts w:cs="Arial"/>
                <w:lang w:val="en-US"/>
              </w:rPr>
              <w:t xml:space="preserve"> </w:t>
            </w:r>
            <w:r w:rsidRPr="00AF2E40">
              <w:rPr>
                <w:rFonts w:cs="Arial"/>
                <w:lang w:val="ru-RU"/>
              </w:rPr>
              <w:t>илјади МКД.</w:t>
            </w:r>
          </w:p>
          <w:p w14:paraId="60E4B21C" w14:textId="77777777" w:rsidR="000B7C52" w:rsidRPr="00B92975" w:rsidRDefault="000B7C52" w:rsidP="000B7C52">
            <w:pPr>
              <w:rPr>
                <w:rFonts w:cs="Arial"/>
                <w:lang w:val="ru-RU"/>
              </w:rPr>
            </w:pPr>
          </w:p>
          <w:p w14:paraId="4091D76E" w14:textId="77777777" w:rsidR="000B7C52" w:rsidRPr="00B92975" w:rsidRDefault="000B7C52" w:rsidP="000B7C52">
            <w:pPr>
              <w:rPr>
                <w:rFonts w:cs="Arial"/>
                <w:lang w:val="ru-RU"/>
              </w:rPr>
            </w:pPr>
            <w:r w:rsidRPr="00D2359B">
              <w:rPr>
                <w:rFonts w:cs="Arial"/>
                <w:lang w:val="ru-RU"/>
              </w:rPr>
              <w:t>Вкупните обврски на Банката по основ на субординираните инструменти</w:t>
            </w:r>
            <w:r w:rsidRPr="00D2359B">
              <w:rPr>
                <w:rFonts w:cs="Arial"/>
                <w:lang w:val="en-US"/>
              </w:rPr>
              <w:t xml:space="preserve"> , </w:t>
            </w:r>
            <w:r w:rsidRPr="00D2359B">
              <w:rPr>
                <w:rFonts w:cs="Arial"/>
                <w:lang w:val="mk-MK"/>
              </w:rPr>
              <w:t>според сметководствена евиденција на Банката,</w:t>
            </w:r>
            <w:r w:rsidRPr="00D2359B">
              <w:rPr>
                <w:rFonts w:cs="Arial"/>
                <w:lang w:val="ru-RU"/>
              </w:rPr>
              <w:t xml:space="preserve">  изнесуваат </w:t>
            </w:r>
            <w:r w:rsidRPr="00D2359B">
              <w:rPr>
                <w:rFonts w:cs="Arial"/>
                <w:lang w:val="mk-MK"/>
              </w:rPr>
              <w:t>2.090.830</w:t>
            </w:r>
            <w:r w:rsidRPr="00D2359B">
              <w:rPr>
                <w:rFonts w:cs="Arial"/>
                <w:lang w:val="ru-RU"/>
              </w:rPr>
              <w:t xml:space="preserve"> илјади МКД.</w:t>
            </w:r>
          </w:p>
          <w:p w14:paraId="36026915" w14:textId="77777777" w:rsidR="000B7C52" w:rsidRPr="00B92975" w:rsidRDefault="000B7C52" w:rsidP="000B7C52">
            <w:pPr>
              <w:rPr>
                <w:rFonts w:cs="Arial"/>
                <w:lang w:val="en-US"/>
              </w:rPr>
            </w:pPr>
          </w:p>
          <w:p w14:paraId="699BB98B" w14:textId="77777777" w:rsidR="0085597D" w:rsidRPr="00B92975" w:rsidRDefault="0085597D" w:rsidP="00B8237B">
            <w:pPr>
              <w:rPr>
                <w:rFonts w:cs="Arial"/>
                <w:lang w:val="en-US"/>
              </w:rPr>
            </w:pPr>
          </w:p>
          <w:p w14:paraId="162A013C" w14:textId="77777777" w:rsidR="0085597D" w:rsidRPr="00B92975" w:rsidRDefault="0085597D" w:rsidP="008B0175">
            <w:pPr>
              <w:rPr>
                <w:rFonts w:cs="Arial"/>
                <w:lang w:val="en-US"/>
              </w:rPr>
            </w:pPr>
          </w:p>
        </w:tc>
      </w:tr>
      <w:tr w:rsidR="0085597D" w:rsidRPr="00B92975" w14:paraId="57A59945"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547793C5" w14:textId="77777777" w:rsidR="0085597D" w:rsidRPr="0085597D" w:rsidRDefault="0085597D" w:rsidP="008B0175">
            <w:pPr>
              <w:rPr>
                <w:rFonts w:cs="Arial"/>
                <w:b/>
                <w:lang w:val="ru-RU"/>
              </w:rPr>
            </w:pPr>
          </w:p>
          <w:p w14:paraId="0A6CDD30" w14:textId="77777777" w:rsidR="0085597D" w:rsidRPr="0085597D" w:rsidRDefault="0085597D" w:rsidP="008B0175">
            <w:pPr>
              <w:rPr>
                <w:rFonts w:cs="Arial"/>
                <w:b/>
                <w:lang w:val="ru-RU"/>
              </w:rPr>
            </w:pPr>
            <w:r w:rsidRPr="0085597D">
              <w:rPr>
                <w:rFonts w:cs="Arial"/>
                <w:b/>
                <w:lang w:val="ru-RU"/>
              </w:rPr>
              <w:t>Видот на одбитните ставки од основниот капитал и дополнителниот капитал и нивниот износ</w:t>
            </w:r>
          </w:p>
        </w:tc>
        <w:tc>
          <w:tcPr>
            <w:tcW w:w="8774" w:type="dxa"/>
            <w:gridSpan w:val="3"/>
            <w:tcBorders>
              <w:top w:val="single" w:sz="4" w:space="0" w:color="auto"/>
              <w:left w:val="single" w:sz="4" w:space="0" w:color="auto"/>
              <w:bottom w:val="single" w:sz="4" w:space="0" w:color="auto"/>
              <w:right w:val="single" w:sz="4" w:space="0" w:color="auto"/>
            </w:tcBorders>
          </w:tcPr>
          <w:p w14:paraId="0D6E2E24" w14:textId="77777777" w:rsidR="0085597D" w:rsidRPr="00B92975" w:rsidRDefault="0085597D" w:rsidP="00B8237B">
            <w:pPr>
              <w:rPr>
                <w:rFonts w:cs="Arial"/>
                <w:lang w:val="ru-RU"/>
              </w:rPr>
            </w:pPr>
          </w:p>
          <w:p w14:paraId="56ECDB4A" w14:textId="48E22590" w:rsidR="0085597D" w:rsidRPr="00B92975" w:rsidRDefault="000B7C52" w:rsidP="00AB2C6A">
            <w:pPr>
              <w:rPr>
                <w:rFonts w:cs="Arial"/>
                <w:lang w:val="ru-RU"/>
              </w:rPr>
            </w:pPr>
            <w:r w:rsidRPr="00D2359B">
              <w:rPr>
                <w:rFonts w:cs="Arial"/>
                <w:lang w:val="ru-RU"/>
              </w:rPr>
              <w:t xml:space="preserve">Одбитни ставки од основниот капитал се однесуваат на нематеријални средства во висина од </w:t>
            </w:r>
            <w:r w:rsidRPr="00D2359B">
              <w:rPr>
                <w:rFonts w:cs="Arial"/>
                <w:lang w:val="en-GB"/>
              </w:rPr>
              <w:t>26.960</w:t>
            </w:r>
            <w:r w:rsidRPr="00D2359B">
              <w:rPr>
                <w:rFonts w:cs="Arial"/>
                <w:lang w:val="mk-MK"/>
              </w:rPr>
              <w:t xml:space="preserve"> </w:t>
            </w:r>
            <w:r w:rsidRPr="00D2359B">
              <w:rPr>
                <w:rFonts w:cs="Arial"/>
                <w:lang w:val="ru-RU"/>
              </w:rPr>
              <w:t>илјади МКД.</w:t>
            </w:r>
          </w:p>
        </w:tc>
      </w:tr>
      <w:tr w:rsidR="000B7C52" w:rsidRPr="00B92975" w14:paraId="224541B4"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06F5E1C8" w14:textId="77777777" w:rsidR="000B7C52" w:rsidRPr="0085597D" w:rsidRDefault="000B7C52" w:rsidP="000B7C52">
            <w:pPr>
              <w:rPr>
                <w:rFonts w:cs="Arial"/>
                <w:b/>
                <w:lang w:val="ru-RU"/>
              </w:rPr>
            </w:pPr>
            <w:r w:rsidRPr="0085597D">
              <w:rPr>
                <w:rFonts w:cs="Arial"/>
                <w:b/>
                <w:lang w:val="ru-RU"/>
              </w:rPr>
              <w:t>Висината на капиталот потребен за покривање на кредитниот ризик, утврден согласно Методологијата за утврдување на адекватноста на капиталот, прикажан одделно за билансните и вонбилансните ставки</w:t>
            </w:r>
          </w:p>
        </w:tc>
        <w:tc>
          <w:tcPr>
            <w:tcW w:w="8774" w:type="dxa"/>
            <w:gridSpan w:val="3"/>
            <w:tcBorders>
              <w:top w:val="single" w:sz="4" w:space="0" w:color="auto"/>
              <w:left w:val="single" w:sz="4" w:space="0" w:color="auto"/>
              <w:bottom w:val="single" w:sz="4" w:space="0" w:color="auto"/>
              <w:right w:val="single" w:sz="4" w:space="0" w:color="auto"/>
            </w:tcBorders>
          </w:tcPr>
          <w:p w14:paraId="037136A6" w14:textId="77777777" w:rsidR="000B7C52" w:rsidRPr="00B92975" w:rsidRDefault="000B7C52" w:rsidP="000B7C52">
            <w:pPr>
              <w:rPr>
                <w:rFonts w:cs="Arial"/>
                <w:lang w:val="ru-RU"/>
              </w:rPr>
            </w:pPr>
          </w:p>
          <w:p w14:paraId="294A2C76" w14:textId="77777777" w:rsidR="000B7C52" w:rsidRPr="00B92975" w:rsidRDefault="000B7C52" w:rsidP="000B7C52">
            <w:pPr>
              <w:rPr>
                <w:rFonts w:cs="Arial"/>
                <w:lang w:val="en-US"/>
              </w:rPr>
            </w:pPr>
          </w:p>
          <w:p w14:paraId="1D988083" w14:textId="7D637AD7" w:rsidR="000B7C52" w:rsidRPr="00D2359B" w:rsidRDefault="000B7C52" w:rsidP="000B7C52">
            <w:pPr>
              <w:rPr>
                <w:rFonts w:cs="Arial"/>
                <w:lang w:val="ru-RU"/>
              </w:rPr>
            </w:pPr>
            <w:r w:rsidRPr="00D2359B">
              <w:rPr>
                <w:rFonts w:cs="Arial"/>
                <w:lang w:val="ru-RU"/>
              </w:rPr>
              <w:t>Вкупн</w:t>
            </w:r>
            <w:r w:rsidRPr="00D2359B">
              <w:rPr>
                <w:rFonts w:cs="Arial"/>
                <w:lang w:val="mk-MK"/>
              </w:rPr>
              <w:t>иот</w:t>
            </w:r>
            <w:r w:rsidRPr="00D2359B">
              <w:rPr>
                <w:rFonts w:cs="Arial"/>
                <w:lang w:val="ru-RU"/>
              </w:rPr>
              <w:t xml:space="preserve"> капитал потребен за покривање на кредитниот ризик изнесува </w:t>
            </w:r>
            <w:r w:rsidRPr="00D2359B">
              <w:rPr>
                <w:rFonts w:cs="Arial"/>
                <w:lang w:val="en-US"/>
              </w:rPr>
              <w:t>6.265.582</w:t>
            </w:r>
            <w:r w:rsidR="0082773F" w:rsidRPr="00D2359B">
              <w:rPr>
                <w:rFonts w:cs="Arial"/>
                <w:lang w:val="en-US"/>
              </w:rPr>
              <w:t xml:space="preserve"> </w:t>
            </w:r>
            <w:r w:rsidRPr="00D2359B">
              <w:rPr>
                <w:rFonts w:cs="Arial"/>
                <w:lang w:val="ru-RU"/>
              </w:rPr>
              <w:t>илјади МКД.</w:t>
            </w:r>
          </w:p>
          <w:p w14:paraId="7E86ECAA" w14:textId="77777777" w:rsidR="000B7C52" w:rsidRPr="00D2359B" w:rsidRDefault="000B7C52" w:rsidP="000B7C52">
            <w:pPr>
              <w:rPr>
                <w:rFonts w:cs="Arial"/>
                <w:lang w:val="ru-RU"/>
              </w:rPr>
            </w:pPr>
          </w:p>
          <w:p w14:paraId="1932361D" w14:textId="77777777" w:rsidR="000B7C52" w:rsidRPr="00D2359B" w:rsidRDefault="000B7C52" w:rsidP="000B7C52">
            <w:pPr>
              <w:rPr>
                <w:rFonts w:cs="Arial"/>
                <w:lang w:val="ru-RU"/>
              </w:rPr>
            </w:pPr>
            <w:r w:rsidRPr="00D2359B">
              <w:rPr>
                <w:rFonts w:cs="Arial"/>
                <w:lang w:val="ru-RU"/>
              </w:rPr>
              <w:t>Капитал потребен за покривање на кредитниот ризик за билансните ставки 5</w:t>
            </w:r>
            <w:r w:rsidRPr="00D2359B">
              <w:rPr>
                <w:rFonts w:cs="Arial"/>
                <w:lang w:val="en-US"/>
              </w:rPr>
              <w:t>.</w:t>
            </w:r>
            <w:r w:rsidRPr="00D2359B">
              <w:rPr>
                <w:rFonts w:cs="Arial"/>
                <w:lang w:val="ru-RU"/>
              </w:rPr>
              <w:t>815</w:t>
            </w:r>
            <w:r w:rsidRPr="00D2359B">
              <w:rPr>
                <w:rFonts w:cs="Arial"/>
                <w:lang w:val="en-US"/>
              </w:rPr>
              <w:t>.</w:t>
            </w:r>
            <w:r w:rsidRPr="00D2359B">
              <w:rPr>
                <w:rFonts w:cs="Arial"/>
                <w:lang w:val="ru-RU"/>
              </w:rPr>
              <w:t>488</w:t>
            </w:r>
            <w:r w:rsidRPr="00D2359B">
              <w:rPr>
                <w:rFonts w:cs="Arial"/>
                <w:lang w:val="en-US"/>
              </w:rPr>
              <w:t xml:space="preserve"> </w:t>
            </w:r>
            <w:r w:rsidRPr="00D2359B">
              <w:rPr>
                <w:rFonts w:cs="Arial"/>
                <w:lang w:val="ru-RU"/>
              </w:rPr>
              <w:t>илјади МКД.</w:t>
            </w:r>
          </w:p>
          <w:p w14:paraId="3652AFDB" w14:textId="77777777" w:rsidR="000B7C52" w:rsidRPr="00D2359B" w:rsidRDefault="000B7C52" w:rsidP="000B7C52">
            <w:pPr>
              <w:rPr>
                <w:rFonts w:cs="Arial"/>
                <w:lang w:val="ru-RU"/>
              </w:rPr>
            </w:pPr>
          </w:p>
          <w:p w14:paraId="1D313CAD" w14:textId="77777777" w:rsidR="000B7C52" w:rsidRPr="00D2359B" w:rsidRDefault="000B7C52" w:rsidP="000B7C52">
            <w:pPr>
              <w:rPr>
                <w:rFonts w:cs="Arial"/>
                <w:lang w:val="ru-RU"/>
              </w:rPr>
            </w:pPr>
          </w:p>
          <w:p w14:paraId="7A40C7FE" w14:textId="04F183B4" w:rsidR="000B7C52" w:rsidRPr="00B92975" w:rsidRDefault="000B7C52" w:rsidP="000B7C52">
            <w:pPr>
              <w:rPr>
                <w:rFonts w:cs="Arial"/>
                <w:lang w:val="ru-RU"/>
              </w:rPr>
            </w:pPr>
            <w:r w:rsidRPr="00D2359B">
              <w:rPr>
                <w:rFonts w:cs="Arial"/>
                <w:lang w:val="ru-RU"/>
              </w:rPr>
              <w:t xml:space="preserve">Капитал потребен за покривање на кредитниот ризик за вонбилансните ставки </w:t>
            </w:r>
            <w:r w:rsidRPr="00D2359B">
              <w:rPr>
                <w:rFonts w:cs="Arial"/>
                <w:lang w:val="en-US"/>
              </w:rPr>
              <w:t xml:space="preserve">450.094 </w:t>
            </w:r>
            <w:r w:rsidRPr="00D2359B">
              <w:rPr>
                <w:rFonts w:cs="Arial"/>
                <w:lang w:val="ru-RU"/>
              </w:rPr>
              <w:t>илјади МКД.</w:t>
            </w:r>
          </w:p>
        </w:tc>
      </w:tr>
      <w:tr w:rsidR="0085597D" w:rsidRPr="0085597D" w14:paraId="01D224F0"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55F6558E" w14:textId="77777777" w:rsidR="0085597D" w:rsidRPr="0085597D" w:rsidRDefault="0085597D" w:rsidP="008B0175">
            <w:pPr>
              <w:rPr>
                <w:rFonts w:cs="Arial"/>
                <w:b/>
                <w:lang w:val="ru-RU"/>
              </w:rPr>
            </w:pPr>
            <w:r w:rsidRPr="0085597D">
              <w:rPr>
                <w:rFonts w:cs="Arial"/>
                <w:b/>
                <w:lang w:val="ru-RU"/>
              </w:rPr>
              <w:lastRenderedPageBreak/>
              <w:t>Висината на капиталот потребен за покривање на валутниот ризик утврден согласно Методологијата за утврдување на адекватноста на капиталот</w:t>
            </w:r>
          </w:p>
        </w:tc>
        <w:tc>
          <w:tcPr>
            <w:tcW w:w="8774" w:type="dxa"/>
            <w:gridSpan w:val="3"/>
            <w:tcBorders>
              <w:top w:val="single" w:sz="4" w:space="0" w:color="auto"/>
              <w:left w:val="single" w:sz="4" w:space="0" w:color="auto"/>
              <w:bottom w:val="single" w:sz="4" w:space="0" w:color="auto"/>
              <w:right w:val="single" w:sz="4" w:space="0" w:color="auto"/>
            </w:tcBorders>
          </w:tcPr>
          <w:p w14:paraId="663D0725" w14:textId="77777777" w:rsidR="0085597D" w:rsidRPr="00D2359B" w:rsidRDefault="0085597D" w:rsidP="00B8237B">
            <w:pPr>
              <w:rPr>
                <w:rFonts w:cs="Arial"/>
                <w:lang w:val="ru-RU"/>
              </w:rPr>
            </w:pPr>
          </w:p>
          <w:p w14:paraId="4E47F91F" w14:textId="77777777" w:rsidR="0085597D" w:rsidRPr="00D2359B" w:rsidRDefault="0085597D" w:rsidP="00B8237B">
            <w:pPr>
              <w:rPr>
                <w:rFonts w:cs="Arial"/>
                <w:lang w:val="ru-RU"/>
              </w:rPr>
            </w:pPr>
          </w:p>
          <w:p w14:paraId="3A2CFC91" w14:textId="77777777" w:rsidR="0085597D" w:rsidRPr="00D2359B" w:rsidRDefault="0085597D" w:rsidP="00B8237B">
            <w:pPr>
              <w:rPr>
                <w:rFonts w:cs="Arial"/>
                <w:lang w:val="ru-RU"/>
              </w:rPr>
            </w:pPr>
          </w:p>
          <w:p w14:paraId="6AE22C80" w14:textId="422DFCD1" w:rsidR="0085597D" w:rsidRPr="00D2359B" w:rsidRDefault="000B7C52" w:rsidP="004D157D">
            <w:pPr>
              <w:rPr>
                <w:rFonts w:cs="Arial"/>
                <w:lang w:val="ru-RU"/>
              </w:rPr>
            </w:pPr>
            <w:r w:rsidRPr="00D2359B">
              <w:rPr>
                <w:rFonts w:cs="Arial"/>
                <w:lang w:val="ru-RU"/>
              </w:rPr>
              <w:t xml:space="preserve">Капиталот потребен за покривање на </w:t>
            </w:r>
            <w:r w:rsidRPr="00D2359B">
              <w:rPr>
                <w:rFonts w:cs="Arial"/>
                <w:lang w:val="mk-MK"/>
              </w:rPr>
              <w:t>валутниот</w:t>
            </w:r>
            <w:r w:rsidRPr="00D2359B">
              <w:rPr>
                <w:rFonts w:cs="Arial"/>
                <w:lang w:val="ru-RU"/>
              </w:rPr>
              <w:t xml:space="preserve"> ризик изнесува 57</w:t>
            </w:r>
            <w:r w:rsidRPr="00D2359B">
              <w:rPr>
                <w:rFonts w:cs="Arial"/>
                <w:lang w:val="en-US"/>
              </w:rPr>
              <w:t>.</w:t>
            </w:r>
            <w:r w:rsidRPr="00D2359B">
              <w:rPr>
                <w:rFonts w:cs="Arial"/>
                <w:lang w:val="ru-RU"/>
              </w:rPr>
              <w:t>587</w:t>
            </w:r>
            <w:r w:rsidRPr="00D2359B">
              <w:rPr>
                <w:rFonts w:cs="Arial"/>
                <w:lang w:val="en-US"/>
              </w:rPr>
              <w:t xml:space="preserve">  </w:t>
            </w:r>
            <w:r w:rsidRPr="00D2359B">
              <w:rPr>
                <w:rFonts w:cs="Arial"/>
                <w:lang w:val="ru-RU"/>
              </w:rPr>
              <w:t>илјади МКД</w:t>
            </w:r>
          </w:p>
        </w:tc>
      </w:tr>
      <w:tr w:rsidR="0085597D" w:rsidRPr="0085597D" w14:paraId="6D618A75"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75DFB72B" w14:textId="77777777" w:rsidR="0085597D" w:rsidRPr="0085597D" w:rsidRDefault="0085597D" w:rsidP="008B0175">
            <w:pPr>
              <w:rPr>
                <w:rFonts w:cs="Arial"/>
                <w:b/>
                <w:lang w:val="ru-RU"/>
              </w:rPr>
            </w:pPr>
            <w:r w:rsidRPr="0085597D">
              <w:rPr>
                <w:rFonts w:cs="Arial"/>
                <w:b/>
                <w:lang w:val="ru-RU"/>
              </w:rPr>
              <w:t xml:space="preserve">Висината на капиталот потребен за покривање на пазарниот ризик, утврден согласно Методологијата за утврдување на адекватноста на капиталот, при што одделно се прикажува износот на капиталот потребен за покривање на генералниот и специфичниот ризик од вложувања во сопственички хартии од вредност и вложувања во должнички инструменти од портфолиото за тргување и износот на капиталот потребен за покривање на ризикот од порамнување/испорака и </w:t>
            </w:r>
            <w:r w:rsidRPr="0085597D">
              <w:rPr>
                <w:rFonts w:cs="Arial"/>
                <w:b/>
                <w:lang w:val="ru-RU"/>
              </w:rPr>
              <w:lastRenderedPageBreak/>
              <w:t>ризикот од другата договорна страна</w:t>
            </w:r>
          </w:p>
        </w:tc>
        <w:tc>
          <w:tcPr>
            <w:tcW w:w="8774" w:type="dxa"/>
            <w:gridSpan w:val="3"/>
            <w:tcBorders>
              <w:top w:val="single" w:sz="4" w:space="0" w:color="auto"/>
              <w:left w:val="single" w:sz="4" w:space="0" w:color="auto"/>
              <w:bottom w:val="single" w:sz="4" w:space="0" w:color="auto"/>
              <w:right w:val="single" w:sz="4" w:space="0" w:color="auto"/>
            </w:tcBorders>
          </w:tcPr>
          <w:p w14:paraId="2282DE5E" w14:textId="77777777" w:rsidR="0085597D" w:rsidRPr="00D2359B" w:rsidRDefault="0085597D" w:rsidP="00B8237B">
            <w:pPr>
              <w:rPr>
                <w:rFonts w:cs="Arial"/>
                <w:b/>
                <w:lang w:val="ru-RU"/>
              </w:rPr>
            </w:pPr>
            <w:r w:rsidRPr="00D2359B">
              <w:rPr>
                <w:rFonts w:cs="Arial"/>
                <w:b/>
                <w:lang w:val="mk-MK"/>
              </w:rPr>
              <w:lastRenderedPageBreak/>
              <w:t xml:space="preserve">            </w:t>
            </w:r>
          </w:p>
          <w:p w14:paraId="11997C5D" w14:textId="77777777" w:rsidR="0085597D" w:rsidRPr="00D2359B" w:rsidRDefault="0085597D" w:rsidP="00B8237B">
            <w:pPr>
              <w:rPr>
                <w:rFonts w:cs="Arial"/>
                <w:b/>
                <w:lang w:val="ru-RU"/>
              </w:rPr>
            </w:pPr>
          </w:p>
          <w:p w14:paraId="4844C8D0" w14:textId="77777777" w:rsidR="0085597D" w:rsidRPr="00D2359B" w:rsidRDefault="0085597D" w:rsidP="00B8237B">
            <w:pPr>
              <w:rPr>
                <w:rFonts w:cs="Arial"/>
                <w:b/>
                <w:lang w:val="ru-RU"/>
              </w:rPr>
            </w:pPr>
          </w:p>
          <w:p w14:paraId="7C8388A7" w14:textId="77777777" w:rsidR="000B7C52" w:rsidRPr="00D2359B" w:rsidRDefault="000B7C52" w:rsidP="000B7C52">
            <w:pPr>
              <w:rPr>
                <w:rFonts w:cs="Arial"/>
                <w:lang w:val="ru-RU"/>
              </w:rPr>
            </w:pPr>
            <w:r w:rsidRPr="00D2359B">
              <w:rPr>
                <w:rFonts w:cs="Arial"/>
                <w:lang w:val="ru-RU"/>
              </w:rPr>
              <w:t>Капиталот потребен за покривање на ризикот од другата договорна страна изнесува</w:t>
            </w:r>
          </w:p>
          <w:p w14:paraId="11D8A2EA" w14:textId="5D1E685A" w:rsidR="0085597D" w:rsidRPr="00D2359B" w:rsidRDefault="000B7C52" w:rsidP="000B7C52">
            <w:pPr>
              <w:rPr>
                <w:rFonts w:cs="Arial"/>
                <w:b/>
                <w:lang w:val="ru-RU"/>
              </w:rPr>
            </w:pPr>
            <w:r w:rsidRPr="00D2359B">
              <w:rPr>
                <w:rFonts w:cs="Arial"/>
                <w:lang w:val="en-US"/>
              </w:rPr>
              <w:t>3.332</w:t>
            </w:r>
            <w:r w:rsidRPr="00D2359B">
              <w:rPr>
                <w:rFonts w:cs="Arial"/>
                <w:lang w:val="ru-RU"/>
              </w:rPr>
              <w:t xml:space="preserve"> илјади МКД</w:t>
            </w:r>
          </w:p>
          <w:p w14:paraId="3EEEAC32" w14:textId="77777777" w:rsidR="0085597D" w:rsidRPr="00D2359B" w:rsidRDefault="0085597D" w:rsidP="00B8237B">
            <w:pPr>
              <w:rPr>
                <w:rFonts w:cs="Arial"/>
                <w:b/>
                <w:lang w:val="ru-RU"/>
              </w:rPr>
            </w:pPr>
          </w:p>
          <w:p w14:paraId="6550D50D" w14:textId="77777777" w:rsidR="0085597D" w:rsidRPr="00D2359B" w:rsidRDefault="0085597D" w:rsidP="00B8237B">
            <w:pPr>
              <w:rPr>
                <w:rFonts w:cs="Arial"/>
                <w:b/>
                <w:lang w:val="ru-RU"/>
              </w:rPr>
            </w:pPr>
          </w:p>
          <w:p w14:paraId="690A3A39" w14:textId="77777777" w:rsidR="0085597D" w:rsidRPr="00D2359B" w:rsidRDefault="0085597D" w:rsidP="00B8237B">
            <w:pPr>
              <w:rPr>
                <w:rFonts w:cs="Arial"/>
                <w:b/>
                <w:lang w:val="ru-RU"/>
              </w:rPr>
            </w:pPr>
          </w:p>
          <w:p w14:paraId="48688921" w14:textId="77777777" w:rsidR="0085597D" w:rsidRPr="00D2359B" w:rsidRDefault="0085597D" w:rsidP="008B0175">
            <w:pPr>
              <w:rPr>
                <w:rFonts w:cs="Arial"/>
                <w:lang w:val="en-US"/>
              </w:rPr>
            </w:pPr>
            <w:r w:rsidRPr="00D2359B">
              <w:rPr>
                <w:rFonts w:cs="Arial"/>
                <w:b/>
                <w:lang w:val="ru-RU"/>
              </w:rPr>
              <w:t xml:space="preserve">                     </w:t>
            </w:r>
            <w:r w:rsidRPr="00D2359B">
              <w:rPr>
                <w:rFonts w:cs="Arial"/>
                <w:b/>
                <w:lang w:val="mk-MK"/>
              </w:rPr>
              <w:t xml:space="preserve">    -</w:t>
            </w:r>
          </w:p>
        </w:tc>
      </w:tr>
      <w:tr w:rsidR="0085597D" w:rsidRPr="0085597D" w14:paraId="748A2D17"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520991AE" w14:textId="77777777" w:rsidR="0085597D" w:rsidRPr="0085597D" w:rsidRDefault="0085597D" w:rsidP="008B0175">
            <w:pPr>
              <w:rPr>
                <w:rFonts w:cs="Arial"/>
                <w:b/>
                <w:lang w:val="ru-RU"/>
              </w:rPr>
            </w:pPr>
          </w:p>
          <w:p w14:paraId="54269EB2" w14:textId="77777777" w:rsidR="0085597D" w:rsidRPr="0085597D" w:rsidRDefault="0085597D" w:rsidP="008B0175">
            <w:pPr>
              <w:rPr>
                <w:rFonts w:cs="Arial"/>
                <w:b/>
                <w:lang w:val="ru-RU"/>
              </w:rPr>
            </w:pPr>
            <w:r w:rsidRPr="0085597D">
              <w:rPr>
                <w:rFonts w:cs="Arial"/>
                <w:b/>
                <w:lang w:val="ru-RU"/>
              </w:rPr>
              <w:t>Висината на капиталот потребен за покривање на ризикот од промена на цената на стоките</w:t>
            </w:r>
          </w:p>
        </w:tc>
        <w:tc>
          <w:tcPr>
            <w:tcW w:w="8774" w:type="dxa"/>
            <w:gridSpan w:val="3"/>
            <w:tcBorders>
              <w:top w:val="single" w:sz="4" w:space="0" w:color="auto"/>
              <w:left w:val="single" w:sz="4" w:space="0" w:color="auto"/>
              <w:bottom w:val="single" w:sz="4" w:space="0" w:color="auto"/>
              <w:right w:val="single" w:sz="4" w:space="0" w:color="auto"/>
            </w:tcBorders>
          </w:tcPr>
          <w:p w14:paraId="68A2EE60" w14:textId="77777777" w:rsidR="0085597D" w:rsidRPr="00B92975" w:rsidRDefault="0085597D" w:rsidP="00B8237B">
            <w:pPr>
              <w:rPr>
                <w:rFonts w:cs="Arial"/>
                <w:lang w:val="ru-RU"/>
              </w:rPr>
            </w:pPr>
          </w:p>
          <w:p w14:paraId="4D9FBF4D" w14:textId="77777777" w:rsidR="0085597D" w:rsidRPr="00B92975" w:rsidRDefault="0085597D" w:rsidP="00B8237B">
            <w:pPr>
              <w:rPr>
                <w:rFonts w:cs="Arial"/>
                <w:lang w:val="ru-RU"/>
              </w:rPr>
            </w:pPr>
          </w:p>
          <w:p w14:paraId="047AD26E" w14:textId="77777777" w:rsidR="0085597D" w:rsidRPr="00B92975" w:rsidRDefault="0085597D" w:rsidP="00B8237B">
            <w:pPr>
              <w:rPr>
                <w:rFonts w:cs="Arial"/>
                <w:lang w:val="ru-RU"/>
              </w:rPr>
            </w:pPr>
          </w:p>
          <w:p w14:paraId="76E77730" w14:textId="77777777" w:rsidR="0085597D" w:rsidRPr="00B92975" w:rsidRDefault="0085597D" w:rsidP="00B8237B">
            <w:pPr>
              <w:rPr>
                <w:rFonts w:cs="Arial"/>
                <w:lang w:val="ru-RU"/>
              </w:rPr>
            </w:pPr>
          </w:p>
          <w:p w14:paraId="28D4533E" w14:textId="77777777" w:rsidR="0085597D" w:rsidRPr="00B92975" w:rsidRDefault="0085597D" w:rsidP="00A62D08">
            <w:pPr>
              <w:rPr>
                <w:rFonts w:cs="Arial"/>
                <w:lang w:val="en-US"/>
              </w:rPr>
            </w:pPr>
            <w:r w:rsidRPr="00B92975">
              <w:rPr>
                <w:rFonts w:cs="Arial"/>
                <w:lang w:val="ru-RU"/>
              </w:rPr>
              <w:t xml:space="preserve">                       </w:t>
            </w:r>
            <w:r w:rsidRPr="00B92975">
              <w:rPr>
                <w:rFonts w:cs="Arial"/>
                <w:b/>
                <w:lang w:val="mk-MK"/>
              </w:rPr>
              <w:t xml:space="preserve">   -</w:t>
            </w:r>
          </w:p>
        </w:tc>
      </w:tr>
      <w:tr w:rsidR="0085597D" w:rsidRPr="0085597D" w14:paraId="34D1E674"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73F0B4B4" w14:textId="77777777" w:rsidR="0085597D" w:rsidRPr="0085597D" w:rsidRDefault="0085597D" w:rsidP="008B0175">
            <w:pPr>
              <w:rPr>
                <w:rFonts w:cs="Arial"/>
                <w:b/>
                <w:lang w:val="ru-RU"/>
              </w:rPr>
            </w:pPr>
          </w:p>
          <w:p w14:paraId="74514636" w14:textId="77777777" w:rsidR="0085597D" w:rsidRPr="0085597D" w:rsidRDefault="0085597D" w:rsidP="008B0175">
            <w:pPr>
              <w:rPr>
                <w:rFonts w:cs="Arial"/>
                <w:b/>
                <w:lang w:val="ru-RU"/>
              </w:rPr>
            </w:pPr>
            <w:r w:rsidRPr="0085597D">
              <w:rPr>
                <w:rFonts w:cs="Arial"/>
                <w:b/>
                <w:lang w:val="ru-RU"/>
              </w:rPr>
              <w:t>Висината на капиталот потребен за покривање на надминувањето на лимитите на изложеност</w:t>
            </w:r>
          </w:p>
          <w:p w14:paraId="6CFF8A50" w14:textId="77777777" w:rsidR="0085597D" w:rsidRPr="0085597D" w:rsidRDefault="0085597D" w:rsidP="008B0175">
            <w:pPr>
              <w:rPr>
                <w:rFonts w:cs="Arial"/>
                <w:b/>
                <w:lang w:val="ru-RU"/>
              </w:rPr>
            </w:pPr>
          </w:p>
        </w:tc>
        <w:tc>
          <w:tcPr>
            <w:tcW w:w="8774" w:type="dxa"/>
            <w:gridSpan w:val="3"/>
            <w:tcBorders>
              <w:top w:val="single" w:sz="4" w:space="0" w:color="auto"/>
              <w:left w:val="single" w:sz="4" w:space="0" w:color="auto"/>
              <w:bottom w:val="single" w:sz="4" w:space="0" w:color="auto"/>
              <w:right w:val="single" w:sz="4" w:space="0" w:color="auto"/>
            </w:tcBorders>
          </w:tcPr>
          <w:p w14:paraId="226A1347" w14:textId="77777777" w:rsidR="0085597D" w:rsidRPr="00B92975" w:rsidRDefault="0085597D" w:rsidP="00B8237B">
            <w:pPr>
              <w:rPr>
                <w:rFonts w:cs="Arial"/>
                <w:b/>
                <w:lang w:val="ru-RU"/>
              </w:rPr>
            </w:pPr>
            <w:r w:rsidRPr="00B92975">
              <w:rPr>
                <w:rFonts w:cs="Arial"/>
                <w:b/>
                <w:lang w:val="mk-MK"/>
              </w:rPr>
              <w:t xml:space="preserve">             </w:t>
            </w:r>
          </w:p>
          <w:p w14:paraId="5A725A24" w14:textId="77777777" w:rsidR="0085597D" w:rsidRPr="00B92975" w:rsidRDefault="0085597D" w:rsidP="00B8237B">
            <w:pPr>
              <w:rPr>
                <w:rFonts w:cs="Arial"/>
                <w:b/>
                <w:lang w:val="ru-RU"/>
              </w:rPr>
            </w:pPr>
          </w:p>
          <w:p w14:paraId="6FF8FEA0" w14:textId="77777777" w:rsidR="0085597D" w:rsidRPr="00B92975" w:rsidRDefault="0085597D" w:rsidP="00B8237B">
            <w:pPr>
              <w:rPr>
                <w:rFonts w:cs="Arial"/>
                <w:b/>
                <w:lang w:val="ru-RU"/>
              </w:rPr>
            </w:pPr>
          </w:p>
          <w:p w14:paraId="3E4D4160" w14:textId="77777777" w:rsidR="0085597D" w:rsidRPr="00B92975" w:rsidRDefault="0085597D" w:rsidP="008B0175">
            <w:pPr>
              <w:rPr>
                <w:rFonts w:cs="Arial"/>
                <w:lang w:val="en-US"/>
              </w:rPr>
            </w:pPr>
            <w:r w:rsidRPr="00B92975">
              <w:rPr>
                <w:rFonts w:cs="Arial"/>
                <w:b/>
                <w:lang w:val="mk-MK"/>
              </w:rPr>
              <w:t xml:space="preserve">  </w:t>
            </w:r>
            <w:r w:rsidRPr="00B92975">
              <w:rPr>
                <w:rFonts w:cs="Arial"/>
                <w:b/>
                <w:lang w:val="ru-RU"/>
              </w:rPr>
              <w:t xml:space="preserve">                       </w:t>
            </w:r>
            <w:r w:rsidRPr="00B92975">
              <w:rPr>
                <w:rFonts w:cs="Arial"/>
                <w:b/>
                <w:lang w:val="mk-MK"/>
              </w:rPr>
              <w:t xml:space="preserve"> -</w:t>
            </w:r>
          </w:p>
        </w:tc>
      </w:tr>
      <w:tr w:rsidR="0085597D" w:rsidRPr="0085597D" w14:paraId="0C0DCC6D"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7382BD2A" w14:textId="77777777" w:rsidR="0085597D" w:rsidRPr="0085597D" w:rsidRDefault="0085597D" w:rsidP="008B0175">
            <w:pPr>
              <w:rPr>
                <w:rFonts w:cs="Arial"/>
                <w:b/>
                <w:lang w:val="ru-RU"/>
              </w:rPr>
            </w:pPr>
          </w:p>
          <w:p w14:paraId="799FE9F8" w14:textId="77777777" w:rsidR="0085597D" w:rsidRPr="0085597D" w:rsidRDefault="0085597D" w:rsidP="008B0175">
            <w:pPr>
              <w:rPr>
                <w:rFonts w:cs="Arial"/>
                <w:b/>
                <w:lang w:val="ru-RU"/>
              </w:rPr>
            </w:pPr>
            <w:r w:rsidRPr="0085597D">
              <w:rPr>
                <w:rFonts w:cs="Arial"/>
                <w:b/>
                <w:lang w:val="ru-RU"/>
              </w:rPr>
              <w:t>Висината на капиталот потребен за покривање на оперативниот ризик</w:t>
            </w:r>
          </w:p>
        </w:tc>
        <w:tc>
          <w:tcPr>
            <w:tcW w:w="8774" w:type="dxa"/>
            <w:gridSpan w:val="3"/>
            <w:tcBorders>
              <w:top w:val="single" w:sz="4" w:space="0" w:color="auto"/>
              <w:left w:val="single" w:sz="4" w:space="0" w:color="auto"/>
              <w:bottom w:val="single" w:sz="4" w:space="0" w:color="auto"/>
              <w:right w:val="single" w:sz="4" w:space="0" w:color="auto"/>
            </w:tcBorders>
          </w:tcPr>
          <w:p w14:paraId="06DFB6B9" w14:textId="77777777" w:rsidR="0085597D" w:rsidRPr="00D2359B" w:rsidRDefault="0085597D" w:rsidP="00B8237B">
            <w:pPr>
              <w:rPr>
                <w:rFonts w:cs="Arial"/>
                <w:b/>
                <w:lang w:val="en-US"/>
              </w:rPr>
            </w:pPr>
          </w:p>
          <w:p w14:paraId="4F7192C6" w14:textId="77777777" w:rsidR="0085597D" w:rsidRPr="00D2359B" w:rsidRDefault="0085597D" w:rsidP="00B8237B">
            <w:pPr>
              <w:rPr>
                <w:rFonts w:cs="Arial"/>
                <w:b/>
                <w:lang w:val="en-US"/>
              </w:rPr>
            </w:pPr>
          </w:p>
          <w:p w14:paraId="53189F47" w14:textId="77777777" w:rsidR="0085597D" w:rsidRPr="00D2359B" w:rsidRDefault="0085597D" w:rsidP="00B8237B">
            <w:pPr>
              <w:rPr>
                <w:rFonts w:cs="Arial"/>
                <w:b/>
                <w:lang w:val="ru-RU"/>
              </w:rPr>
            </w:pPr>
          </w:p>
          <w:p w14:paraId="47797DCE" w14:textId="77777777" w:rsidR="000B7C52" w:rsidRPr="00D2359B" w:rsidRDefault="000B7C52" w:rsidP="000B7C52">
            <w:pPr>
              <w:rPr>
                <w:rFonts w:cs="Arial"/>
                <w:lang w:val="en-US"/>
              </w:rPr>
            </w:pPr>
            <w:r w:rsidRPr="00D2359B">
              <w:rPr>
                <w:rFonts w:cs="Arial"/>
                <w:lang w:val="ru-RU"/>
              </w:rPr>
              <w:t xml:space="preserve">Капиталот потребен за покривање на </w:t>
            </w:r>
            <w:r w:rsidRPr="00D2359B">
              <w:rPr>
                <w:rFonts w:cs="Arial"/>
                <w:lang w:val="mk-MK"/>
              </w:rPr>
              <w:t>оператив</w:t>
            </w:r>
            <w:r w:rsidRPr="00D2359B">
              <w:rPr>
                <w:rFonts w:cs="Arial"/>
                <w:lang w:val="ru-RU"/>
              </w:rPr>
              <w:t>ниот ризик изнесува 683</w:t>
            </w:r>
            <w:r w:rsidRPr="00D2359B">
              <w:rPr>
                <w:rFonts w:cs="Arial"/>
                <w:lang w:val="en-US"/>
              </w:rPr>
              <w:t>.</w:t>
            </w:r>
            <w:r w:rsidRPr="00D2359B">
              <w:rPr>
                <w:rFonts w:cs="Arial"/>
                <w:lang w:val="ru-RU"/>
              </w:rPr>
              <w:t>931</w:t>
            </w:r>
            <w:r w:rsidRPr="00D2359B">
              <w:rPr>
                <w:rFonts w:cs="Arial"/>
                <w:lang w:val="en-US"/>
              </w:rPr>
              <w:t xml:space="preserve"> </w:t>
            </w:r>
            <w:r w:rsidRPr="00D2359B">
              <w:rPr>
                <w:rFonts w:cs="Arial"/>
                <w:lang w:val="ru-RU"/>
              </w:rPr>
              <w:t>илјади МКД.</w:t>
            </w:r>
          </w:p>
          <w:p w14:paraId="7E2C7EEA" w14:textId="77777777" w:rsidR="0085597D" w:rsidRPr="00D2359B" w:rsidRDefault="0085597D" w:rsidP="000D0605">
            <w:pPr>
              <w:rPr>
                <w:rFonts w:cs="Arial"/>
              </w:rPr>
            </w:pPr>
          </w:p>
        </w:tc>
      </w:tr>
      <w:tr w:rsidR="0085597D" w:rsidRPr="0085597D" w14:paraId="3FC40F09" w14:textId="77777777" w:rsidTr="000B7C52">
        <w:tblPrEx>
          <w:tblLook w:val="0000" w:firstRow="0" w:lastRow="0" w:firstColumn="0" w:lastColumn="0" w:noHBand="0" w:noVBand="0"/>
        </w:tblPrEx>
        <w:trPr>
          <w:trHeight w:val="1980"/>
        </w:trPr>
        <w:tc>
          <w:tcPr>
            <w:tcW w:w="1585" w:type="dxa"/>
            <w:tcBorders>
              <w:top w:val="single" w:sz="4" w:space="0" w:color="auto"/>
              <w:left w:val="single" w:sz="4" w:space="0" w:color="auto"/>
              <w:bottom w:val="single" w:sz="4" w:space="0" w:color="auto"/>
              <w:right w:val="single" w:sz="4" w:space="0" w:color="auto"/>
            </w:tcBorders>
          </w:tcPr>
          <w:p w14:paraId="086816FE" w14:textId="77777777" w:rsidR="0085597D" w:rsidRPr="0085597D" w:rsidRDefault="0085597D" w:rsidP="00A62D08">
            <w:pPr>
              <w:rPr>
                <w:rFonts w:cs="Arial"/>
                <w:b/>
                <w:lang w:val="ru-RU"/>
              </w:rPr>
            </w:pPr>
            <w:r w:rsidRPr="0085597D">
              <w:rPr>
                <w:rFonts w:cs="Arial"/>
                <w:b/>
                <w:lang w:val="ru-RU"/>
              </w:rPr>
              <w:t>Висината на капиталот потребен за покривање други ризици, доколку банката по сопствена оценка утврдила дополнителен износ на капитал потребен за покривање на тие ризици, или доколку Народната банка утврдила дополнителе</w:t>
            </w:r>
            <w:r w:rsidRPr="0085597D">
              <w:rPr>
                <w:rFonts w:cs="Arial"/>
                <w:b/>
                <w:lang w:val="ru-RU"/>
              </w:rPr>
              <w:lastRenderedPageBreak/>
              <w:t>н износ на потребен капитал, заради природата, видот и обемот на активностите коишто ги извршува банката и ризиците на кои е изложена како резултат на тие активности</w:t>
            </w:r>
          </w:p>
        </w:tc>
        <w:tc>
          <w:tcPr>
            <w:tcW w:w="8774" w:type="dxa"/>
            <w:gridSpan w:val="3"/>
            <w:tcBorders>
              <w:top w:val="single" w:sz="4" w:space="0" w:color="auto"/>
              <w:left w:val="single" w:sz="4" w:space="0" w:color="auto"/>
              <w:bottom w:val="single" w:sz="4" w:space="0" w:color="auto"/>
              <w:right w:val="single" w:sz="4" w:space="0" w:color="auto"/>
            </w:tcBorders>
          </w:tcPr>
          <w:p w14:paraId="1C46B3E4" w14:textId="77777777" w:rsidR="0085597D" w:rsidRPr="00B92975" w:rsidRDefault="0085597D" w:rsidP="00B8237B">
            <w:pPr>
              <w:rPr>
                <w:rFonts w:cs="Arial"/>
                <w:lang w:val="ru-RU"/>
              </w:rPr>
            </w:pPr>
          </w:p>
          <w:p w14:paraId="5F6FEC58" w14:textId="77777777" w:rsidR="0085597D" w:rsidRPr="00B92975" w:rsidRDefault="0085597D" w:rsidP="00B8237B">
            <w:pPr>
              <w:rPr>
                <w:rFonts w:cs="Arial"/>
                <w:lang w:val="ru-RU"/>
              </w:rPr>
            </w:pPr>
          </w:p>
          <w:p w14:paraId="63CAE6D9" w14:textId="77777777" w:rsidR="0085597D" w:rsidRPr="00B92975" w:rsidRDefault="0085597D" w:rsidP="00B8237B">
            <w:pPr>
              <w:rPr>
                <w:rFonts w:cs="Arial"/>
                <w:lang w:val="ru-RU"/>
              </w:rPr>
            </w:pPr>
          </w:p>
          <w:p w14:paraId="7A070ED6" w14:textId="77777777" w:rsidR="0085597D" w:rsidRPr="00B92975" w:rsidRDefault="0085597D" w:rsidP="00B8237B">
            <w:pPr>
              <w:rPr>
                <w:rFonts w:cs="Arial"/>
                <w:lang w:val="ru-RU"/>
              </w:rPr>
            </w:pPr>
          </w:p>
          <w:p w14:paraId="7BD1192E" w14:textId="77777777" w:rsidR="0085597D" w:rsidRPr="00B92975" w:rsidRDefault="0085597D" w:rsidP="00B8237B">
            <w:pPr>
              <w:rPr>
                <w:rFonts w:cs="Arial"/>
                <w:lang w:val="en-US"/>
              </w:rPr>
            </w:pPr>
            <w:r w:rsidRPr="00B92975">
              <w:rPr>
                <w:rFonts w:cs="Arial"/>
                <w:lang w:val="ru-RU"/>
              </w:rPr>
              <w:t xml:space="preserve">                     </w:t>
            </w:r>
            <w:r w:rsidRPr="00B92975">
              <w:rPr>
                <w:rFonts w:cs="Arial"/>
                <w:b/>
                <w:lang w:val="mk-MK"/>
              </w:rPr>
              <w:t xml:space="preserve">    -</w:t>
            </w:r>
          </w:p>
          <w:p w14:paraId="1FBFFA37" w14:textId="77777777" w:rsidR="0085597D" w:rsidRPr="00B92975" w:rsidRDefault="0085597D" w:rsidP="00B8237B">
            <w:pPr>
              <w:rPr>
                <w:rFonts w:cs="Arial"/>
                <w:lang w:val="en-US"/>
              </w:rPr>
            </w:pPr>
          </w:p>
          <w:p w14:paraId="22EED73D" w14:textId="77777777" w:rsidR="0085597D" w:rsidRPr="00B92975" w:rsidRDefault="0085597D" w:rsidP="008B0175">
            <w:pPr>
              <w:rPr>
                <w:rFonts w:cs="Arial"/>
                <w:lang w:val="en-US"/>
              </w:rPr>
            </w:pPr>
          </w:p>
        </w:tc>
      </w:tr>
      <w:tr w:rsidR="0085597D" w:rsidRPr="0085597D" w14:paraId="1515623D" w14:textId="77777777" w:rsidTr="000B7C52">
        <w:tblPrEx>
          <w:tblLook w:val="0000" w:firstRow="0" w:lastRow="0" w:firstColumn="0" w:lastColumn="0" w:noHBand="0" w:noVBand="0"/>
        </w:tblPrEx>
        <w:trPr>
          <w:trHeight w:val="920"/>
        </w:trPr>
        <w:tc>
          <w:tcPr>
            <w:tcW w:w="1585" w:type="dxa"/>
            <w:tcBorders>
              <w:top w:val="single" w:sz="4" w:space="0" w:color="auto"/>
              <w:left w:val="single" w:sz="4" w:space="0" w:color="auto"/>
              <w:bottom w:val="single" w:sz="4" w:space="0" w:color="auto"/>
              <w:right w:val="single" w:sz="4" w:space="0" w:color="auto"/>
            </w:tcBorders>
          </w:tcPr>
          <w:p w14:paraId="5F8197DF" w14:textId="77777777" w:rsidR="0085597D" w:rsidRPr="00D64DB5" w:rsidRDefault="0085597D" w:rsidP="008B0175">
            <w:pPr>
              <w:rPr>
                <w:rFonts w:cs="Arial"/>
                <w:b/>
                <w:lang w:val="ru-RU"/>
              </w:rPr>
            </w:pPr>
            <w:r w:rsidRPr="00D64DB5">
              <w:rPr>
                <w:rFonts w:cs="Arial"/>
                <w:b/>
                <w:lang w:val="ru-RU"/>
              </w:rPr>
              <w:t>Вкупен износ на сопствени средства и висина на адекватноста</w:t>
            </w:r>
          </w:p>
          <w:p w14:paraId="09AC2A6B" w14:textId="6E8ED8B4" w:rsidR="0085597D" w:rsidRPr="00D64DB5" w:rsidRDefault="0085597D" w:rsidP="00113318">
            <w:pPr>
              <w:rPr>
                <w:rFonts w:cs="Arial"/>
                <w:b/>
                <w:lang w:val="en-US"/>
              </w:rPr>
            </w:pPr>
            <w:r w:rsidRPr="00D64DB5">
              <w:rPr>
                <w:rFonts w:cs="Arial"/>
                <w:b/>
                <w:lang w:val="ru-RU"/>
              </w:rPr>
              <w:t>на капиталот со состојба 31.12.20</w:t>
            </w:r>
            <w:r w:rsidR="00D3329A" w:rsidRPr="00D64DB5">
              <w:rPr>
                <w:rFonts w:cs="Arial"/>
                <w:b/>
                <w:lang w:val="en-US"/>
              </w:rPr>
              <w:t>23</w:t>
            </w:r>
          </w:p>
        </w:tc>
        <w:tc>
          <w:tcPr>
            <w:tcW w:w="8774" w:type="dxa"/>
            <w:gridSpan w:val="3"/>
            <w:vMerge w:val="restart"/>
            <w:tcBorders>
              <w:top w:val="single" w:sz="4" w:space="0" w:color="auto"/>
              <w:left w:val="single" w:sz="4" w:space="0" w:color="auto"/>
              <w:right w:val="single" w:sz="4" w:space="0" w:color="auto"/>
            </w:tcBorders>
          </w:tcPr>
          <w:p w14:paraId="2CE40DA2" w14:textId="77777777" w:rsidR="0085597D" w:rsidRPr="00B92975" w:rsidRDefault="0085597D" w:rsidP="00B8237B">
            <w:pPr>
              <w:rPr>
                <w:rFonts w:cs="Arial"/>
                <w:lang w:val="ru-RU"/>
              </w:rPr>
            </w:pPr>
          </w:p>
          <w:p w14:paraId="3C6DBC40" w14:textId="77777777" w:rsidR="00D3329A" w:rsidRPr="00D2359B" w:rsidRDefault="00D3329A" w:rsidP="00D3329A">
            <w:pPr>
              <w:rPr>
                <w:rFonts w:cs="Arial"/>
                <w:lang w:val="ru-RU"/>
              </w:rPr>
            </w:pPr>
            <w:r w:rsidRPr="00D2359B">
              <w:rPr>
                <w:rFonts w:cs="Arial"/>
                <w:lang w:val="ru-RU"/>
              </w:rPr>
              <w:t>Сопствени средства 16</w:t>
            </w:r>
            <w:r w:rsidRPr="00D2359B">
              <w:rPr>
                <w:rFonts w:cs="Arial"/>
                <w:lang w:val="en-US"/>
              </w:rPr>
              <w:t>.</w:t>
            </w:r>
            <w:r w:rsidRPr="00D2359B">
              <w:rPr>
                <w:rFonts w:cs="Arial"/>
                <w:lang w:val="ru-RU"/>
              </w:rPr>
              <w:t>553</w:t>
            </w:r>
            <w:r w:rsidRPr="00D2359B">
              <w:rPr>
                <w:rFonts w:cs="Arial"/>
                <w:lang w:val="en-US"/>
              </w:rPr>
              <w:t>.</w:t>
            </w:r>
            <w:r w:rsidRPr="00D2359B">
              <w:rPr>
                <w:rFonts w:cs="Arial"/>
                <w:lang w:val="ru-RU"/>
              </w:rPr>
              <w:t>816</w:t>
            </w:r>
            <w:r w:rsidRPr="00D2359B">
              <w:rPr>
                <w:rFonts w:cs="Arial"/>
                <w:lang w:val="en-US"/>
              </w:rPr>
              <w:t xml:space="preserve"> </w:t>
            </w:r>
            <w:r w:rsidRPr="00D2359B">
              <w:rPr>
                <w:rFonts w:cs="Arial"/>
                <w:lang w:val="ru-RU"/>
              </w:rPr>
              <w:t>илјади МКД.</w:t>
            </w:r>
          </w:p>
          <w:p w14:paraId="58DBB718" w14:textId="77777777" w:rsidR="00D3329A" w:rsidRPr="00D2359B" w:rsidRDefault="00D3329A" w:rsidP="00D3329A">
            <w:pPr>
              <w:rPr>
                <w:rFonts w:cs="Arial"/>
                <w:lang w:val="ru-RU"/>
              </w:rPr>
            </w:pPr>
          </w:p>
          <w:p w14:paraId="000BF761" w14:textId="77777777" w:rsidR="00D3329A" w:rsidRPr="00B92975" w:rsidRDefault="00D3329A" w:rsidP="00D3329A">
            <w:pPr>
              <w:rPr>
                <w:rFonts w:cs="Arial"/>
                <w:lang w:val="ru-RU"/>
              </w:rPr>
            </w:pPr>
            <w:r w:rsidRPr="00D2359B">
              <w:rPr>
                <w:rFonts w:cs="Arial"/>
                <w:lang w:val="ru-RU"/>
              </w:rPr>
              <w:t xml:space="preserve">Адекватност на капиталот </w:t>
            </w:r>
            <w:r w:rsidRPr="00D2359B">
              <w:rPr>
                <w:rFonts w:cs="Arial"/>
                <w:lang w:val="en-US"/>
              </w:rPr>
              <w:t xml:space="preserve">18.89 </w:t>
            </w:r>
            <w:r w:rsidRPr="00D2359B">
              <w:rPr>
                <w:rFonts w:cs="Arial"/>
                <w:lang w:val="ru-RU"/>
              </w:rPr>
              <w:t>%.</w:t>
            </w:r>
            <w:r w:rsidRPr="00B92975">
              <w:rPr>
                <w:rFonts w:cs="Arial"/>
                <w:lang w:val="ru-RU"/>
              </w:rPr>
              <w:t xml:space="preserve"> </w:t>
            </w:r>
          </w:p>
          <w:p w14:paraId="661DE7AD" w14:textId="77777777" w:rsidR="00D3329A" w:rsidRPr="00B92975" w:rsidRDefault="00D3329A" w:rsidP="00D3329A">
            <w:pPr>
              <w:rPr>
                <w:rFonts w:cs="Arial"/>
                <w:lang w:val="ru-RU"/>
              </w:rPr>
            </w:pPr>
          </w:p>
          <w:p w14:paraId="244DD4D5" w14:textId="77777777" w:rsidR="00D3329A" w:rsidRPr="00B92975" w:rsidRDefault="00D3329A" w:rsidP="00D3329A">
            <w:pPr>
              <w:rPr>
                <w:rFonts w:cs="Arial"/>
                <w:lang w:val="ru-RU"/>
              </w:rPr>
            </w:pPr>
          </w:p>
          <w:p w14:paraId="58EAAF97" w14:textId="77777777" w:rsidR="00D3329A" w:rsidRPr="00B92975" w:rsidRDefault="00D3329A" w:rsidP="00D3329A">
            <w:pPr>
              <w:rPr>
                <w:rFonts w:cs="Arial"/>
                <w:lang w:val="ru-RU"/>
              </w:rPr>
            </w:pPr>
          </w:p>
          <w:p w14:paraId="3E5F273F" w14:textId="77777777" w:rsidR="00D3329A" w:rsidRPr="00B92975" w:rsidRDefault="00D3329A" w:rsidP="00D3329A">
            <w:pPr>
              <w:rPr>
                <w:rFonts w:cs="Arial"/>
                <w:lang w:val="ru-RU"/>
              </w:rPr>
            </w:pPr>
          </w:p>
          <w:p w14:paraId="63716B3C" w14:textId="77777777" w:rsidR="00D3329A" w:rsidRPr="00B92975" w:rsidRDefault="00D3329A" w:rsidP="00D3329A">
            <w:pPr>
              <w:rPr>
                <w:rFonts w:cs="Arial"/>
                <w:sz w:val="10"/>
                <w:szCs w:val="10"/>
                <w:lang w:val="ru-RU"/>
              </w:rPr>
            </w:pPr>
          </w:p>
          <w:p w14:paraId="112BC45A" w14:textId="700C6D52" w:rsidR="00D3329A" w:rsidRPr="00B92975" w:rsidRDefault="00D3329A" w:rsidP="00D3329A">
            <w:pPr>
              <w:rPr>
                <w:rFonts w:cs="Arial"/>
                <w:lang w:val="en-US"/>
              </w:rPr>
            </w:pPr>
            <w:r w:rsidRPr="00386AAE">
              <w:rPr>
                <w:rFonts w:cs="Arial"/>
                <w:lang w:val="en-US"/>
              </w:rPr>
              <w:t>11.</w:t>
            </w:r>
            <w:r w:rsidR="0047243B">
              <w:rPr>
                <w:rFonts w:cs="Arial"/>
                <w:lang w:val="mk-MK"/>
              </w:rPr>
              <w:t>5</w:t>
            </w:r>
            <w:r w:rsidRPr="00386AAE">
              <w:rPr>
                <w:rFonts w:cs="Arial"/>
                <w:lang w:val="en-US"/>
              </w:rPr>
              <w:t>6%</w:t>
            </w:r>
          </w:p>
          <w:p w14:paraId="57186538" w14:textId="77777777" w:rsidR="00D3329A" w:rsidRPr="00B92975" w:rsidRDefault="00D3329A" w:rsidP="00D3329A">
            <w:pPr>
              <w:rPr>
                <w:rFonts w:cs="Arial"/>
                <w:sz w:val="10"/>
                <w:szCs w:val="10"/>
                <w:lang w:val="mk-MK"/>
              </w:rPr>
            </w:pPr>
          </w:p>
          <w:p w14:paraId="78DB6DEF" w14:textId="770CADA0" w:rsidR="0085597D" w:rsidRPr="00B92975" w:rsidRDefault="0085597D" w:rsidP="00140D26">
            <w:pPr>
              <w:rPr>
                <w:rFonts w:cs="Arial"/>
                <w:lang w:val="ru-RU"/>
              </w:rPr>
            </w:pPr>
          </w:p>
        </w:tc>
      </w:tr>
      <w:tr w:rsidR="0085597D" w:rsidRPr="0085597D" w14:paraId="49789AB0" w14:textId="77777777" w:rsidTr="000B7C52">
        <w:tblPrEx>
          <w:tblLook w:val="0000" w:firstRow="0" w:lastRow="0" w:firstColumn="0" w:lastColumn="0" w:noHBand="0" w:noVBand="0"/>
        </w:tblPrEx>
        <w:trPr>
          <w:trHeight w:val="920"/>
        </w:trPr>
        <w:tc>
          <w:tcPr>
            <w:tcW w:w="1585" w:type="dxa"/>
            <w:tcBorders>
              <w:top w:val="single" w:sz="4" w:space="0" w:color="auto"/>
              <w:left w:val="single" w:sz="4" w:space="0" w:color="auto"/>
              <w:bottom w:val="single" w:sz="4" w:space="0" w:color="auto"/>
              <w:right w:val="single" w:sz="4" w:space="0" w:color="auto"/>
            </w:tcBorders>
          </w:tcPr>
          <w:p w14:paraId="70666DBD" w14:textId="0B595CE4" w:rsidR="0085597D" w:rsidRPr="00D64DB5" w:rsidRDefault="0085597D" w:rsidP="008F7446">
            <w:pPr>
              <w:rPr>
                <w:rFonts w:cs="Arial"/>
                <w:b/>
                <w:lang w:val="ru-RU"/>
              </w:rPr>
            </w:pPr>
            <w:r w:rsidRPr="00D64DB5">
              <w:rPr>
                <w:rFonts w:cs="Arial"/>
              </w:rPr>
              <w:t xml:space="preserve">Просечна стапка на задолженост </w:t>
            </w:r>
            <w:proofErr w:type="spellStart"/>
            <w:r w:rsidRPr="00D64DB5">
              <w:rPr>
                <w:rFonts w:cs="Arial"/>
                <w:lang w:val="en-US"/>
              </w:rPr>
              <w:t>за</w:t>
            </w:r>
            <w:proofErr w:type="spellEnd"/>
            <w:r w:rsidRPr="00D64DB5">
              <w:rPr>
                <w:rFonts w:cs="Arial"/>
                <w:lang w:val="en-US"/>
              </w:rPr>
              <w:t xml:space="preserve"> II </w:t>
            </w:r>
            <w:proofErr w:type="spellStart"/>
            <w:r w:rsidRPr="00D64DB5">
              <w:rPr>
                <w:rFonts w:cs="Arial"/>
                <w:lang w:val="en-US"/>
              </w:rPr>
              <w:t>полугодие</w:t>
            </w:r>
            <w:proofErr w:type="spellEnd"/>
            <w:r w:rsidRPr="00D64DB5">
              <w:rPr>
                <w:rFonts w:cs="Arial"/>
                <w:lang w:val="en-US"/>
              </w:rPr>
              <w:t xml:space="preserve"> </w:t>
            </w:r>
            <w:proofErr w:type="spellStart"/>
            <w:r w:rsidRPr="00D64DB5">
              <w:rPr>
                <w:rFonts w:cs="Arial"/>
                <w:lang w:val="en-US"/>
              </w:rPr>
              <w:t>од</w:t>
            </w:r>
            <w:proofErr w:type="spellEnd"/>
            <w:r w:rsidRPr="00D64DB5">
              <w:rPr>
                <w:rFonts w:cs="Arial"/>
                <w:lang w:val="en-US"/>
              </w:rPr>
              <w:t xml:space="preserve"> 20</w:t>
            </w:r>
            <w:r w:rsidR="00D3329A" w:rsidRPr="00D64DB5">
              <w:rPr>
                <w:rFonts w:cs="Arial"/>
                <w:lang w:val="en-US"/>
              </w:rPr>
              <w:t>23</w:t>
            </w:r>
            <w:r w:rsidRPr="00D64DB5">
              <w:rPr>
                <w:rFonts w:cs="Arial"/>
                <w:lang w:val="en-US"/>
              </w:rPr>
              <w:t xml:space="preserve"> </w:t>
            </w:r>
            <w:proofErr w:type="spellStart"/>
            <w:r w:rsidRPr="00D64DB5">
              <w:rPr>
                <w:rFonts w:cs="Arial"/>
                <w:lang w:val="en-US"/>
              </w:rPr>
              <w:t>година</w:t>
            </w:r>
            <w:proofErr w:type="spellEnd"/>
          </w:p>
        </w:tc>
        <w:tc>
          <w:tcPr>
            <w:tcW w:w="8774" w:type="dxa"/>
            <w:gridSpan w:val="3"/>
            <w:vMerge/>
            <w:tcBorders>
              <w:left w:val="single" w:sz="4" w:space="0" w:color="auto"/>
              <w:bottom w:val="single" w:sz="4" w:space="0" w:color="auto"/>
              <w:right w:val="single" w:sz="4" w:space="0" w:color="auto"/>
            </w:tcBorders>
          </w:tcPr>
          <w:p w14:paraId="248CD29D" w14:textId="77777777" w:rsidR="0085597D" w:rsidRPr="00B92975" w:rsidRDefault="0085597D" w:rsidP="008B0175">
            <w:pPr>
              <w:rPr>
                <w:rFonts w:cs="Arial"/>
                <w:lang w:val="ru-RU"/>
              </w:rPr>
            </w:pPr>
          </w:p>
        </w:tc>
      </w:tr>
      <w:tr w:rsidR="0085597D" w:rsidRPr="0085597D" w14:paraId="6D70BE5D" w14:textId="77777777" w:rsidTr="000B7C52">
        <w:trPr>
          <w:trHeight w:val="272"/>
        </w:trPr>
        <w:tc>
          <w:tcPr>
            <w:tcW w:w="10359" w:type="dxa"/>
            <w:gridSpan w:val="4"/>
            <w:shd w:val="clear" w:color="auto" w:fill="92D050"/>
            <w:vAlign w:val="center"/>
          </w:tcPr>
          <w:p w14:paraId="32D340FB" w14:textId="77777777" w:rsidR="0085597D" w:rsidRPr="00B92975" w:rsidRDefault="0085597D" w:rsidP="0080273D">
            <w:pPr>
              <w:numPr>
                <w:ilvl w:val="0"/>
                <w:numId w:val="7"/>
              </w:numPr>
              <w:rPr>
                <w:rFonts w:cs="Arial"/>
                <w:b/>
                <w:bCs/>
                <w:color w:val="FFFFFF"/>
                <w:lang w:val="mk-MK"/>
              </w:rPr>
            </w:pPr>
            <w:r w:rsidRPr="00B92975">
              <w:rPr>
                <w:rFonts w:cs="Arial"/>
                <w:b/>
                <w:bCs/>
                <w:color w:val="FFFFFF"/>
                <w:lang w:val="mk-MK"/>
              </w:rPr>
              <w:t>ПОДАТОЦИ ЗА ПРОЦЕСОТ НА УПРАВУВАЊЕ СО РИЗИЦИТЕ</w:t>
            </w:r>
          </w:p>
        </w:tc>
      </w:tr>
      <w:tr w:rsidR="0085597D" w:rsidRPr="0085597D" w14:paraId="65643441" w14:textId="77777777" w:rsidTr="000B7C52">
        <w:tblPrEx>
          <w:tblLook w:val="0000" w:firstRow="0" w:lastRow="0" w:firstColumn="0" w:lastColumn="0" w:noHBand="0" w:noVBand="0"/>
        </w:tblPrEx>
        <w:trPr>
          <w:trHeight w:val="1060"/>
        </w:trPr>
        <w:tc>
          <w:tcPr>
            <w:tcW w:w="1585" w:type="dxa"/>
          </w:tcPr>
          <w:p w14:paraId="1943E62E" w14:textId="77777777" w:rsidR="0085597D" w:rsidRPr="0085597D" w:rsidRDefault="0085597D" w:rsidP="008B0175">
            <w:pPr>
              <w:pBdr>
                <w:top w:val="single" w:sz="4" w:space="1" w:color="auto"/>
                <w:left w:val="single" w:sz="4" w:space="4" w:color="auto"/>
                <w:bottom w:val="single" w:sz="4" w:space="1" w:color="auto"/>
                <w:right w:val="single" w:sz="4" w:space="4" w:color="auto"/>
              </w:pBdr>
              <w:rPr>
                <w:rFonts w:cs="Arial"/>
                <w:b/>
                <w:lang w:val="ru-RU"/>
              </w:rPr>
            </w:pPr>
          </w:p>
          <w:p w14:paraId="5CE237DE" w14:textId="77777777" w:rsidR="0085597D" w:rsidRPr="0085597D" w:rsidRDefault="0085597D" w:rsidP="008B0175">
            <w:pPr>
              <w:pBdr>
                <w:top w:val="single" w:sz="4" w:space="1" w:color="auto"/>
                <w:left w:val="single" w:sz="4" w:space="4" w:color="auto"/>
                <w:bottom w:val="single" w:sz="4" w:space="1" w:color="auto"/>
                <w:right w:val="single" w:sz="4" w:space="4" w:color="auto"/>
              </w:pBdr>
              <w:rPr>
                <w:rFonts w:cs="Arial"/>
                <w:b/>
                <w:lang w:val="ru-RU"/>
              </w:rPr>
            </w:pPr>
            <w:r w:rsidRPr="0085597D">
              <w:rPr>
                <w:rFonts w:cs="Arial"/>
                <w:b/>
                <w:lang w:val="ru-RU"/>
              </w:rPr>
              <w:t>Стратегии и процеси на управување со секој поединечен ризик</w:t>
            </w:r>
          </w:p>
          <w:p w14:paraId="6D863296" w14:textId="77777777" w:rsidR="0085597D" w:rsidRPr="0085597D" w:rsidRDefault="0085597D" w:rsidP="008B0175">
            <w:pPr>
              <w:pBdr>
                <w:top w:val="single" w:sz="4" w:space="1" w:color="auto"/>
                <w:left w:val="single" w:sz="4" w:space="4" w:color="auto"/>
                <w:bottom w:val="single" w:sz="4" w:space="1" w:color="auto"/>
                <w:right w:val="single" w:sz="4" w:space="4" w:color="auto"/>
              </w:pBdr>
              <w:rPr>
                <w:rFonts w:cs="Arial"/>
                <w:b/>
                <w:lang w:val="ru-RU"/>
              </w:rPr>
            </w:pPr>
          </w:p>
          <w:p w14:paraId="504F96C2" w14:textId="77777777" w:rsidR="0085597D" w:rsidRPr="0085597D" w:rsidRDefault="0085597D" w:rsidP="008B0175">
            <w:pPr>
              <w:rPr>
                <w:rFonts w:cs="Arial"/>
                <w:b/>
                <w:lang w:val="mk-MK"/>
              </w:rPr>
            </w:pPr>
          </w:p>
          <w:p w14:paraId="18576A78" w14:textId="77777777" w:rsidR="0085597D" w:rsidRPr="0085597D" w:rsidRDefault="0085597D" w:rsidP="008B0175">
            <w:pPr>
              <w:pBdr>
                <w:top w:val="single" w:sz="4" w:space="1" w:color="auto"/>
                <w:left w:val="single" w:sz="4" w:space="4" w:color="auto"/>
                <w:bottom w:val="single" w:sz="4" w:space="1" w:color="auto"/>
                <w:right w:val="single" w:sz="4" w:space="4" w:color="auto"/>
              </w:pBdr>
              <w:rPr>
                <w:rFonts w:cs="Arial"/>
                <w:b/>
                <w:lang w:val="ru-RU"/>
              </w:rPr>
            </w:pPr>
            <w:r w:rsidRPr="0085597D">
              <w:rPr>
                <w:rFonts w:cs="Arial"/>
                <w:b/>
                <w:lang w:val="ru-RU"/>
              </w:rPr>
              <w:t>Структура и организација на функцијата на управување со ризици</w:t>
            </w:r>
          </w:p>
          <w:p w14:paraId="6C9C36D6" w14:textId="77777777" w:rsidR="0085597D" w:rsidRPr="0085597D" w:rsidRDefault="0085597D" w:rsidP="008B0175">
            <w:pPr>
              <w:pBdr>
                <w:top w:val="single" w:sz="4" w:space="1" w:color="auto"/>
                <w:left w:val="single" w:sz="4" w:space="4" w:color="auto"/>
                <w:bottom w:val="single" w:sz="4" w:space="1" w:color="auto"/>
                <w:right w:val="single" w:sz="4" w:space="4" w:color="auto"/>
              </w:pBdr>
              <w:rPr>
                <w:rFonts w:cs="Arial"/>
                <w:b/>
                <w:lang w:val="ru-RU"/>
              </w:rPr>
            </w:pPr>
          </w:p>
          <w:p w14:paraId="3FF0A741" w14:textId="77777777" w:rsidR="0085597D" w:rsidRPr="0085597D" w:rsidRDefault="0085597D" w:rsidP="008B0175">
            <w:pPr>
              <w:rPr>
                <w:rFonts w:cs="Arial"/>
                <w:b/>
                <w:lang w:val="ru-RU"/>
              </w:rPr>
            </w:pPr>
          </w:p>
          <w:p w14:paraId="0E4D37AA" w14:textId="77777777" w:rsidR="0085597D" w:rsidRPr="0085597D" w:rsidRDefault="0085597D" w:rsidP="008B0175">
            <w:pPr>
              <w:pBdr>
                <w:top w:val="single" w:sz="4" w:space="1" w:color="auto"/>
                <w:left w:val="single" w:sz="4" w:space="4" w:color="auto"/>
                <w:bottom w:val="single" w:sz="4" w:space="1" w:color="auto"/>
                <w:right w:val="single" w:sz="4" w:space="4" w:color="auto"/>
              </w:pBdr>
              <w:rPr>
                <w:rFonts w:cs="Arial"/>
                <w:b/>
                <w:lang w:val="ru-RU"/>
              </w:rPr>
            </w:pPr>
            <w:r w:rsidRPr="0085597D">
              <w:rPr>
                <w:rFonts w:cs="Arial"/>
                <w:b/>
                <w:lang w:val="ru-RU"/>
              </w:rPr>
              <w:t>Структура на системот за мерење на ризикот и системот за внатрешно известување</w:t>
            </w:r>
          </w:p>
          <w:p w14:paraId="435D406F" w14:textId="77777777" w:rsidR="0085597D" w:rsidRPr="0085597D" w:rsidRDefault="0085597D" w:rsidP="008B0175">
            <w:pPr>
              <w:rPr>
                <w:rFonts w:cs="Arial"/>
                <w:b/>
                <w:lang w:val="en-US"/>
              </w:rPr>
            </w:pPr>
          </w:p>
          <w:p w14:paraId="6B7DCDB2" w14:textId="77777777" w:rsidR="0085597D" w:rsidRPr="007C67A4" w:rsidRDefault="0085597D" w:rsidP="008B0175">
            <w:pPr>
              <w:pBdr>
                <w:top w:val="single" w:sz="4" w:space="1" w:color="auto"/>
                <w:left w:val="single" w:sz="4" w:space="4" w:color="auto"/>
                <w:bottom w:val="single" w:sz="4" w:space="1" w:color="auto"/>
                <w:right w:val="single" w:sz="4" w:space="4" w:color="auto"/>
              </w:pBdr>
              <w:rPr>
                <w:rFonts w:cs="Arial"/>
                <w:b/>
                <w:lang w:val="en-US"/>
              </w:rPr>
            </w:pPr>
            <w:r w:rsidRPr="0085597D">
              <w:rPr>
                <w:rFonts w:cs="Arial"/>
                <w:b/>
                <w:lang w:val="ru-RU"/>
              </w:rPr>
              <w:lastRenderedPageBreak/>
              <w:t>Политики за заштита и намалување на ризикот, како и процедурите за следење на ефикасноста на извршувањето на овие политики</w:t>
            </w:r>
          </w:p>
          <w:p w14:paraId="54490AAB" w14:textId="77777777" w:rsidR="0085597D" w:rsidRPr="0085597D" w:rsidRDefault="0085597D" w:rsidP="008B0175">
            <w:pPr>
              <w:rPr>
                <w:rFonts w:cs="Arial"/>
                <w:b/>
                <w:lang w:val="ru-RU"/>
              </w:rPr>
            </w:pPr>
          </w:p>
        </w:tc>
        <w:tc>
          <w:tcPr>
            <w:tcW w:w="877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4"/>
            </w:tblGrid>
            <w:tr w:rsidR="00D3329A" w:rsidRPr="00B92975" w14:paraId="5284B9F0" w14:textId="77777777" w:rsidTr="00BF05D1">
              <w:trPr>
                <w:trHeight w:val="1060"/>
              </w:trPr>
              <w:tc>
                <w:tcPr>
                  <w:tcW w:w="8774" w:type="dxa"/>
                </w:tcPr>
                <w:p w14:paraId="18DA0E52" w14:textId="77777777" w:rsidR="00D3329A" w:rsidRPr="00B92975" w:rsidRDefault="00D3329A" w:rsidP="00D3329A">
                  <w:pPr>
                    <w:autoSpaceDE w:val="0"/>
                    <w:autoSpaceDN w:val="0"/>
                    <w:adjustRightInd w:val="0"/>
                    <w:jc w:val="both"/>
                    <w:rPr>
                      <w:rFonts w:cs="Arial"/>
                    </w:rPr>
                  </w:pPr>
                </w:p>
                <w:p w14:paraId="00641EBC" w14:textId="77777777" w:rsidR="00D3329A" w:rsidRPr="00B92975" w:rsidRDefault="00D3329A" w:rsidP="00D3329A">
                  <w:pPr>
                    <w:jc w:val="both"/>
                    <w:rPr>
                      <w:lang w:val="mk-MK"/>
                    </w:rPr>
                  </w:pPr>
                  <w:r w:rsidRPr="00B92975">
                    <w:rPr>
                      <w:lang w:val="mk-MK"/>
                    </w:rPr>
                    <w:t>Деловната стратегија на НЛБ Банка АД Скопје е фокусирана на задржување широка и разновидна клиентска база со фокус на сегментите микро, мали и средни претпријатија и физички лица, обезбедувајќи богата и навремена понуда на продукти на пазарот и беспрекорна услуга преку ефикасни процеси, автоматизација, продажба преку разни продажни канали и одлични перформанси на вработените, оттука достигнувајќи разновидни и стабилни приходи и поголема трошковна ефикасност, која обезбедува поголема профитабилност и органски можности за раст.</w:t>
                  </w:r>
                  <w:r w:rsidRPr="00B92975">
                    <w:rPr>
                      <w:lang w:val="en-US"/>
                    </w:rPr>
                    <w:t xml:space="preserve"> </w:t>
                  </w:r>
                </w:p>
                <w:p w14:paraId="1BFBB597" w14:textId="77777777" w:rsidR="00D3329A" w:rsidRPr="00B92975" w:rsidRDefault="00D3329A" w:rsidP="00D3329A">
                  <w:pPr>
                    <w:jc w:val="both"/>
                    <w:rPr>
                      <w:lang w:val="mk-MK"/>
                    </w:rPr>
                  </w:pPr>
                  <w:r w:rsidRPr="00B92975">
                    <w:rPr>
                      <w:lang w:val="mk-MK"/>
                    </w:rPr>
                    <w:t>Клучен фактор за успех на стратегијата е целосно прифаќање на новата организациска култура, обнова на вредностите и поголема ангажираност на сите засегнати страни во процесот на постојани промени кон нови можности.</w:t>
                  </w:r>
                </w:p>
                <w:p w14:paraId="22722A8A" w14:textId="77777777" w:rsidR="00D3329A" w:rsidRPr="00B92975" w:rsidRDefault="00D3329A" w:rsidP="00D3329A">
                  <w:pPr>
                    <w:jc w:val="both"/>
                    <w:rPr>
                      <w:rStyle w:val="hps"/>
                      <w:lang w:val="mk-MK"/>
                    </w:rPr>
                  </w:pPr>
                  <w:r w:rsidRPr="00B92975">
                    <w:rPr>
                      <w:rStyle w:val="hps"/>
                      <w:lang w:val="mk-MK"/>
                    </w:rPr>
                    <w:t xml:space="preserve">Клучни активности за </w:t>
                  </w:r>
                  <w:r w:rsidRPr="00B92975">
                    <w:rPr>
                      <w:rStyle w:val="hps"/>
                      <w:lang w:val="en-US"/>
                    </w:rPr>
                    <w:t>2023</w:t>
                  </w:r>
                  <w:r w:rsidRPr="00B92975">
                    <w:rPr>
                      <w:rStyle w:val="hps"/>
                      <w:lang w:val="mk-MK"/>
                    </w:rPr>
                    <w:t xml:space="preserve"> за НЛБ Банка АД Скопје: Раст на работењето во обем кај кредитите, депозитите и платежните услуги</w:t>
                  </w:r>
                  <w:r w:rsidRPr="00B92975">
                    <w:rPr>
                      <w:rStyle w:val="hps"/>
                      <w:lang w:val="en-US"/>
                    </w:rPr>
                    <w:t xml:space="preserve">, </w:t>
                  </w:r>
                  <w:r w:rsidRPr="00B92975">
                    <w:rPr>
                      <w:rStyle w:val="hps"/>
                      <w:lang w:val="mk-MK"/>
                    </w:rPr>
                    <w:t>Одржување/мало покачување на пзарното учество во retail и corporate  со фокус на високо профитни сегменти</w:t>
                  </w:r>
                  <w:r w:rsidRPr="00B92975">
                    <w:rPr>
                      <w:rStyle w:val="hps"/>
                      <w:lang w:val="en-US"/>
                    </w:rPr>
                    <w:t xml:space="preserve">, </w:t>
                  </w:r>
                  <w:r w:rsidRPr="00B92975">
                    <w:rPr>
                      <w:rStyle w:val="hps"/>
                      <w:lang w:val="mk-MK"/>
                    </w:rPr>
                    <w:t>Фокус на високо-приносно банкарството на мало - retail (физички лица, мали и средни претпријатија и микро бизниси)</w:t>
                  </w:r>
                  <w:r w:rsidRPr="00B92975">
                    <w:rPr>
                      <w:rStyle w:val="hps"/>
                      <w:lang w:val="en-US"/>
                    </w:rPr>
                    <w:t xml:space="preserve">, </w:t>
                  </w:r>
                  <w:r w:rsidRPr="00B92975">
                    <w:rPr>
                      <w:rStyle w:val="hps"/>
                      <w:lang w:val="mk-MK"/>
                    </w:rPr>
                    <w:t>Таргетирање на нови клиенти и активирање на неактивните клиенти,</w:t>
                  </w:r>
                  <w:r w:rsidRPr="00B92975">
                    <w:rPr>
                      <w:rStyle w:val="hps"/>
                      <w:lang w:val="en-US"/>
                    </w:rPr>
                    <w:t xml:space="preserve"> </w:t>
                  </w:r>
                  <w:r w:rsidRPr="00B92975">
                    <w:rPr>
                      <w:rStyle w:val="hps"/>
                      <w:lang w:val="mk-MK"/>
                    </w:rPr>
                    <w:t>Воведување на повеќе некаматни приходни услуги,</w:t>
                  </w:r>
                  <w:r w:rsidRPr="00B92975">
                    <w:rPr>
                      <w:rStyle w:val="hps"/>
                      <w:lang w:val="en-US"/>
                    </w:rPr>
                    <w:t xml:space="preserve"> </w:t>
                  </w:r>
                  <w:r w:rsidRPr="00B92975">
                    <w:rPr>
                      <w:rStyle w:val="hps"/>
                      <w:lang w:val="mk-MK"/>
                    </w:rPr>
                    <w:t>Подобрување на дигиталните канали и обезбедување уникатно искуство за клиентите преку сите точки на контакт со нив,</w:t>
                  </w:r>
                  <w:r w:rsidRPr="00B92975">
                    <w:rPr>
                      <w:rStyle w:val="hps"/>
                      <w:lang w:val="en-US"/>
                    </w:rPr>
                    <w:t xml:space="preserve"> </w:t>
                  </w:r>
                  <w:r w:rsidRPr="00B92975">
                    <w:rPr>
                      <w:rStyle w:val="hps"/>
                      <w:lang w:val="mk-MK"/>
                    </w:rPr>
                    <w:t>Оптимизација на процесите и нивно прилагодување од аспект на поголема трошочна ефикасност,</w:t>
                  </w:r>
                  <w:r w:rsidRPr="00B92975">
                    <w:rPr>
                      <w:rStyle w:val="hps"/>
                      <w:lang w:val="en-US"/>
                    </w:rPr>
                    <w:t xml:space="preserve"> </w:t>
                  </w:r>
                  <w:r w:rsidRPr="00B92975">
                    <w:rPr>
                      <w:rStyle w:val="hps"/>
                      <w:lang w:val="mk-MK"/>
                    </w:rPr>
                    <w:t>Унапредување и развој на информативниот систем,</w:t>
                  </w:r>
                  <w:r w:rsidRPr="00B92975">
                    <w:rPr>
                      <w:rStyle w:val="hps"/>
                      <w:lang w:val="en-US"/>
                    </w:rPr>
                    <w:t xml:space="preserve"> </w:t>
                  </w:r>
                  <w:r w:rsidRPr="00B92975">
                    <w:rPr>
                      <w:rStyle w:val="hps"/>
                      <w:lang w:val="mk-MK"/>
                    </w:rPr>
                    <w:t>Унапредување на успешноста на продажната сила, Негување на отворени, сигурни и долгорочни односи со вработените, клиентите и сите засегнати страни,</w:t>
                  </w:r>
                  <w:r w:rsidRPr="00B92975">
                    <w:rPr>
                      <w:rStyle w:val="hps"/>
                      <w:lang w:val="en-US"/>
                    </w:rPr>
                    <w:t xml:space="preserve"> </w:t>
                  </w:r>
                  <w:r w:rsidRPr="00B92975">
                    <w:rPr>
                      <w:rStyle w:val="hps"/>
                      <w:lang w:val="mk-MK"/>
                    </w:rPr>
                    <w:t>Добро корпоративно управување и подобрување на организацијата на работа</w:t>
                  </w:r>
                  <w:r w:rsidRPr="00B92975">
                    <w:rPr>
                      <w:rStyle w:val="hps"/>
                      <w:lang w:val="en-US"/>
                    </w:rPr>
                    <w:t xml:space="preserve"> </w:t>
                  </w:r>
                  <w:r w:rsidRPr="00B92975">
                    <w:rPr>
                      <w:rFonts w:cs="Arial"/>
                      <w:lang w:val="mk-MK"/>
                    </w:rPr>
                    <w:t xml:space="preserve">и сето тоа е спроведено со одржување на солвентноста и обезбедување адекватно ниво на капитал спрема ризиците на кои Банката е изложена; Банката сето тоа го спроведе и применувајќи конзервативна политика во поглед на антиципирањето на ризиците, преку функционирање на ефикасен систем на интегрирано </w:t>
                  </w:r>
                  <w:r w:rsidRPr="00B92975">
                    <w:rPr>
                      <w:rFonts w:cs="Arial"/>
                      <w:lang w:val="mk-MK"/>
                    </w:rPr>
                    <w:lastRenderedPageBreak/>
                    <w:t>управување</w:t>
                  </w:r>
                  <w:r w:rsidRPr="00B92975" w:rsidDel="00E44706">
                    <w:rPr>
                      <w:rFonts w:cs="Arial"/>
                      <w:lang w:val="mk-MK"/>
                    </w:rPr>
                    <w:t xml:space="preserve"> </w:t>
                  </w:r>
                  <w:r w:rsidRPr="00B92975">
                    <w:rPr>
                      <w:rFonts w:cs="Arial"/>
                      <w:lang w:val="mk-MK"/>
                    </w:rPr>
                    <w:t>со ризиците и обезбедување резервен фонд кој соодветно може да ги покрие евентуалните загуби.</w:t>
                  </w:r>
                </w:p>
                <w:p w14:paraId="10D6B957" w14:textId="77777777" w:rsidR="00D3329A" w:rsidRPr="00B92975" w:rsidRDefault="00D3329A" w:rsidP="00D3329A">
                  <w:pPr>
                    <w:pStyle w:val="BodyText"/>
                    <w:spacing w:after="0"/>
                    <w:jc w:val="both"/>
                  </w:pPr>
                  <w:r w:rsidRPr="00B92975">
                    <w:t>Во согласност со Стратегијата за управување со ризи</w:t>
                  </w:r>
                  <w:r w:rsidRPr="00B92975">
                    <w:rPr>
                      <w:lang w:val="mk-MK"/>
                    </w:rPr>
                    <w:t>к</w:t>
                  </w:r>
                  <w:r w:rsidRPr="00B92975">
                    <w:t xml:space="preserve">, Банката планира </w:t>
                  </w:r>
                  <w:r w:rsidRPr="00B92975">
                    <w:rPr>
                      <w:lang w:val="mk-MK"/>
                    </w:rPr>
                    <w:t>прудентно</w:t>
                  </w:r>
                  <w:r w:rsidRPr="00B92975">
                    <w:t xml:space="preserve"> да презем</w:t>
                  </w:r>
                  <w:r w:rsidRPr="00B92975">
                    <w:rPr>
                      <w:lang w:val="mk-MK"/>
                    </w:rPr>
                    <w:t>а</w:t>
                  </w:r>
                  <w:r w:rsidRPr="00B92975">
                    <w:t xml:space="preserve"> ризици и да </w:t>
                  </w:r>
                  <w:r w:rsidRPr="00B92975">
                    <w:rPr>
                      <w:lang w:val="mk-MK"/>
                    </w:rPr>
                    <w:t>обезбеди</w:t>
                  </w:r>
                  <w:r w:rsidRPr="00B92975">
                    <w:t xml:space="preserve"> долгорочно оптимално профитабилно работење (</w:t>
                  </w:r>
                  <w:r w:rsidRPr="00B92975">
                    <w:rPr>
                      <w:lang w:val="mk-MK"/>
                    </w:rPr>
                    <w:t>земајќи</w:t>
                  </w:r>
                  <w:r w:rsidRPr="00B92975">
                    <w:t xml:space="preserve"> ги предвид преземените ризици), </w:t>
                  </w:r>
                  <w:r w:rsidRPr="00B92975">
                    <w:rPr>
                      <w:lang w:val="mk-MK"/>
                    </w:rPr>
                    <w:t>со</w:t>
                  </w:r>
                  <w:r w:rsidRPr="00B92975">
                    <w:t xml:space="preserve"> истовреме</w:t>
                  </w:r>
                  <w:r w:rsidRPr="00B92975">
                    <w:rPr>
                      <w:lang w:val="mk-MK"/>
                    </w:rPr>
                    <w:t>но</w:t>
                  </w:r>
                  <w:r w:rsidRPr="00B92975">
                    <w:t xml:space="preserve"> исполнува</w:t>
                  </w:r>
                  <w:r w:rsidRPr="00B92975">
                    <w:rPr>
                      <w:lang w:val="mk-MK"/>
                    </w:rPr>
                    <w:t>ње на</w:t>
                  </w:r>
                  <w:r w:rsidRPr="00B92975">
                    <w:t xml:space="preserve"> цели</w:t>
                  </w:r>
                  <w:r w:rsidRPr="00B92975">
                    <w:rPr>
                      <w:lang w:val="mk-MK"/>
                    </w:rPr>
                    <w:t>те кои се однесуваат на ризичниот апетит</w:t>
                  </w:r>
                  <w:r w:rsidRPr="00B92975">
                    <w:t xml:space="preserve"> и други барања дефинирани во рамката за управување со риз</w:t>
                  </w:r>
                  <w:r w:rsidRPr="00B92975">
                    <w:rPr>
                      <w:lang w:val="mk-MK"/>
                    </w:rPr>
                    <w:t>ици</w:t>
                  </w:r>
                  <w:r w:rsidRPr="00B92975">
                    <w:t xml:space="preserve"> на Банката (како Профил </w:t>
                  </w:r>
                  <w:r w:rsidRPr="00B92975">
                    <w:rPr>
                      <w:lang w:val="mk-MK"/>
                    </w:rPr>
                    <w:t>на ризичност</w:t>
                  </w:r>
                  <w:r w:rsidRPr="00B92975">
                    <w:t xml:space="preserve">, ICAAP, ILAAP, </w:t>
                  </w:r>
                  <w:r w:rsidRPr="00B92975">
                    <w:rPr>
                      <w:lang w:val="mk-MK"/>
                    </w:rPr>
                    <w:t>Стратегија за управување со капиталот, процес на буџетирање, план за опоравување</w:t>
                  </w:r>
                  <w:r w:rsidRPr="00B92975">
                    <w:t>).</w:t>
                  </w:r>
                </w:p>
                <w:p w14:paraId="189103D8" w14:textId="77777777" w:rsidR="00D3329A" w:rsidRPr="00386AAE" w:rsidRDefault="00D3329A" w:rsidP="00D3329A">
                  <w:pPr>
                    <w:pStyle w:val="BodyText"/>
                    <w:spacing w:after="0"/>
                    <w:jc w:val="both"/>
                    <w:rPr>
                      <w:lang w:val="mk-MK"/>
                    </w:rPr>
                  </w:pPr>
                  <w:r w:rsidRPr="00B92975">
                    <w:rPr>
                      <w:lang w:val="mk-MK"/>
                    </w:rPr>
                    <w:t xml:space="preserve">Врз основа на насоките дефинирани во Деловната стратегија и Апетитот за ризик, Стратегијата за управување со ризик детално ги дефинира </w:t>
                  </w:r>
                  <w:r w:rsidRPr="00B92975">
                    <w:t xml:space="preserve"> начелата за преземање на ризици од аспект на видот на ризикот (и поврзаните сегменти или видови на работење) што </w:t>
                  </w:r>
                  <w:r w:rsidRPr="00B92975">
                    <w:rPr>
                      <w:lang w:val="mk-MK"/>
                    </w:rPr>
                    <w:t>Б</w:t>
                  </w:r>
                  <w:r w:rsidRPr="00B92975">
                    <w:t xml:space="preserve">анката е подготвена да го преземе и од аспект на оние ризици што не се прифатливи/се </w:t>
                  </w:r>
                  <w:r w:rsidRPr="00386AAE">
                    <w:t>прифатливи само во многу ограничен обем.</w:t>
                  </w:r>
                </w:p>
                <w:p w14:paraId="0E4D22A7" w14:textId="77777777" w:rsidR="00D3329A" w:rsidRPr="00386AAE" w:rsidRDefault="00D3329A" w:rsidP="00D3329A">
                  <w:pPr>
                    <w:pStyle w:val="BodyText"/>
                    <w:widowControl w:val="0"/>
                    <w:numPr>
                      <w:ilvl w:val="0"/>
                      <w:numId w:val="19"/>
                    </w:numPr>
                    <w:pBdr>
                      <w:top w:val="nil"/>
                      <w:left w:val="nil"/>
                      <w:bottom w:val="nil"/>
                      <w:right w:val="nil"/>
                      <w:between w:val="nil"/>
                      <w:bar w:val="nil"/>
                    </w:pBdr>
                    <w:tabs>
                      <w:tab w:val="left" w:pos="477"/>
                    </w:tabs>
                    <w:spacing w:after="0"/>
                    <w:ind w:left="718" w:hanging="284"/>
                    <w:jc w:val="both"/>
                  </w:pPr>
                  <w:r w:rsidRPr="00386AAE">
                    <w:rPr>
                      <w:rStyle w:val="hps"/>
                      <w:lang w:val="mk-MK"/>
                    </w:rPr>
                    <w:t>.</w:t>
                  </w:r>
                </w:p>
                <w:p w14:paraId="40372873" w14:textId="77777777" w:rsidR="00D3329A" w:rsidRPr="00B92975" w:rsidRDefault="00D3329A" w:rsidP="00D3329A">
                  <w:pPr>
                    <w:pStyle w:val="HTMLPreformatted"/>
                    <w:keepNext/>
                    <w:tabs>
                      <w:tab w:val="left" w:pos="3516"/>
                    </w:tabs>
                    <w:jc w:val="both"/>
                    <w:outlineLvl w:val="2"/>
                    <w:rPr>
                      <w:rFonts w:ascii="Arial" w:hAnsi="Arial" w:cs="Arial"/>
                      <w:b/>
                    </w:rPr>
                  </w:pPr>
                </w:p>
                <w:p w14:paraId="1F179E11" w14:textId="77777777" w:rsidR="00D3329A" w:rsidRPr="00B92975" w:rsidRDefault="00D3329A" w:rsidP="00D3329A">
                  <w:pPr>
                    <w:spacing w:line="256" w:lineRule="auto"/>
                    <w:jc w:val="both"/>
                    <w:rPr>
                      <w:rFonts w:eastAsia="Calibri" w:cs="Arial"/>
                      <w:lang w:val="mk-MK"/>
                    </w:rPr>
                  </w:pPr>
                  <w:r w:rsidRPr="00B92975">
                    <w:rPr>
                      <w:rFonts w:eastAsia="Calibri" w:cs="Arial"/>
                      <w:lang w:val="mk-MK"/>
                    </w:rPr>
                    <w:t xml:space="preserve">Стратегијата за управување со ризик е поддржана од принципи на ризик што мора да се земат во предвид при одлучување за изведување на деловен предлог/можност. </w:t>
                  </w:r>
                  <w:r w:rsidRPr="00B92975">
                    <w:rPr>
                      <w:rFonts w:eastAsia="Calibri" w:cs="Arial"/>
                      <w:b/>
                      <w:lang w:val="mk-MK"/>
                    </w:rPr>
                    <w:t>Главни принципи на стратегијата за управување со ризик на НЛБ Банка АД Скопје</w:t>
                  </w:r>
                  <w:r w:rsidRPr="00B92975">
                    <w:rPr>
                      <w:rFonts w:eastAsia="Calibri" w:cs="Arial"/>
                      <w:lang w:val="mk-MK"/>
                    </w:rPr>
                    <w:t xml:space="preserve"> се следните:</w:t>
                  </w:r>
                </w:p>
                <w:p w14:paraId="6817C74B" w14:textId="77777777" w:rsidR="00D3329A" w:rsidRPr="00B92975" w:rsidRDefault="00D3329A" w:rsidP="00D3329A">
                  <w:pPr>
                    <w:numPr>
                      <w:ilvl w:val="0"/>
                      <w:numId w:val="34"/>
                    </w:numPr>
                    <w:spacing w:line="256" w:lineRule="auto"/>
                    <w:contextualSpacing/>
                    <w:jc w:val="both"/>
                    <w:rPr>
                      <w:rFonts w:cs="Arial"/>
                      <w:lang w:val="mk-MK" w:eastAsia="mk-MK"/>
                    </w:rPr>
                  </w:pPr>
                  <w:r w:rsidRPr="00B92975">
                    <w:rPr>
                      <w:rFonts w:cs="Arial"/>
                      <w:lang w:val="mk-MK" w:eastAsia="mk-MK"/>
                    </w:rPr>
                    <w:t>главните принципи на стратегијата за управување со ризик се утврдуваат со ограничувањата и целите на Апетитот за ризик на Банката;</w:t>
                  </w:r>
                </w:p>
                <w:p w14:paraId="73456F45" w14:textId="77777777" w:rsidR="00D3329A" w:rsidRPr="00B92975" w:rsidRDefault="00D3329A" w:rsidP="00D3329A">
                  <w:pPr>
                    <w:numPr>
                      <w:ilvl w:val="0"/>
                      <w:numId w:val="34"/>
                    </w:numPr>
                    <w:spacing w:line="256" w:lineRule="auto"/>
                    <w:contextualSpacing/>
                    <w:jc w:val="both"/>
                    <w:rPr>
                      <w:rFonts w:cs="Arial"/>
                      <w:lang w:val="mk-MK" w:eastAsia="mk-MK"/>
                    </w:rPr>
                  </w:pPr>
                  <w:r w:rsidRPr="00B92975">
                    <w:rPr>
                      <w:rFonts w:cs="Arial"/>
                      <w:lang w:val="mk-MK" w:eastAsia="mk-MK"/>
                    </w:rPr>
                    <w:t>вклучување на процената на</w:t>
                  </w:r>
                  <w:r w:rsidRPr="00B92975">
                    <w:rPr>
                      <w:rFonts w:ascii="Times New Roman" w:hAnsi="Times New Roman"/>
                      <w:lang w:val="mk-MK" w:eastAsia="mk-MK"/>
                    </w:rPr>
                    <w:t xml:space="preserve"> </w:t>
                  </w:r>
                  <w:r w:rsidRPr="00B92975">
                    <w:rPr>
                      <w:rFonts w:cs="Arial"/>
                      <w:lang w:val="mk-MK" w:eastAsia="mk-MK"/>
                    </w:rPr>
                    <w:t>деловни одлуки и ризик вклучувајќи ја перспективата на ESG ризиците во процесот на донесување на одлуки за стратешки и оперативни нивоа со цел обезбедување на проактивна поддршка за информирано донесување на одлуки;</w:t>
                  </w:r>
                </w:p>
                <w:p w14:paraId="49CAA0E7" w14:textId="77777777" w:rsidR="00D3329A" w:rsidRPr="00B92975" w:rsidRDefault="00D3329A" w:rsidP="00D3329A">
                  <w:pPr>
                    <w:numPr>
                      <w:ilvl w:val="0"/>
                      <w:numId w:val="34"/>
                    </w:numPr>
                    <w:spacing w:line="256" w:lineRule="auto"/>
                    <w:contextualSpacing/>
                    <w:jc w:val="both"/>
                    <w:rPr>
                      <w:rFonts w:cs="Arial"/>
                      <w:lang w:val="mk-MK" w:eastAsia="mk-MK"/>
                    </w:rPr>
                  </w:pPr>
                  <w:r w:rsidRPr="00B92975">
                    <w:rPr>
                      <w:rFonts w:cs="Arial"/>
                      <w:lang w:val="mk-MK" w:eastAsia="mk-MK"/>
                    </w:rPr>
                    <w:t>фокусирање на разновидноста на ризикот со цел да се одбегне голема концентрација на нивото на портфолиото;</w:t>
                  </w:r>
                </w:p>
                <w:p w14:paraId="7D8B9B0D" w14:textId="77777777" w:rsidR="00D3329A" w:rsidRPr="00B92975" w:rsidRDefault="00D3329A" w:rsidP="00D3329A">
                  <w:pPr>
                    <w:numPr>
                      <w:ilvl w:val="0"/>
                      <w:numId w:val="34"/>
                    </w:numPr>
                    <w:spacing w:line="256" w:lineRule="auto"/>
                    <w:contextualSpacing/>
                    <w:jc w:val="both"/>
                    <w:rPr>
                      <w:rFonts w:cs="Arial"/>
                      <w:lang w:val="mk-MK" w:eastAsia="mk-MK"/>
                    </w:rPr>
                  </w:pPr>
                  <w:r w:rsidRPr="00B92975">
                    <w:rPr>
                      <w:rFonts w:cs="Arial"/>
                      <w:lang w:val="mk-MK" w:eastAsia="mk-MK"/>
                    </w:rPr>
                    <w:t>обезбедување на оптимална употреба на капиталот и негова распределба меѓу деловните сегменти/организациони единици;</w:t>
                  </w:r>
                </w:p>
                <w:p w14:paraId="6FC83975" w14:textId="77777777" w:rsidR="00D3329A" w:rsidRPr="00B92975" w:rsidRDefault="00D3329A" w:rsidP="00D3329A">
                  <w:pPr>
                    <w:numPr>
                      <w:ilvl w:val="0"/>
                      <w:numId w:val="34"/>
                    </w:numPr>
                    <w:spacing w:line="256" w:lineRule="auto"/>
                    <w:contextualSpacing/>
                    <w:jc w:val="both"/>
                    <w:rPr>
                      <w:rFonts w:cs="Arial"/>
                      <w:lang w:val="mk-MK" w:eastAsia="mk-MK"/>
                    </w:rPr>
                  </w:pPr>
                  <w:r w:rsidRPr="00B92975">
                    <w:rPr>
                      <w:rFonts w:cs="Arial"/>
                      <w:lang w:val="mk-MK" w:eastAsia="mk-MK"/>
                    </w:rPr>
                    <w:t>обезбедување на соодветно прилагодено поставување на цените на ризикот;</w:t>
                  </w:r>
                </w:p>
                <w:p w14:paraId="6F512188" w14:textId="77777777" w:rsidR="00D3329A" w:rsidRPr="00B92975" w:rsidRDefault="00D3329A" w:rsidP="00D3329A">
                  <w:pPr>
                    <w:numPr>
                      <w:ilvl w:val="0"/>
                      <w:numId w:val="34"/>
                    </w:numPr>
                    <w:spacing w:line="256" w:lineRule="auto"/>
                    <w:contextualSpacing/>
                    <w:jc w:val="both"/>
                    <w:rPr>
                      <w:rFonts w:cs="Arial"/>
                      <w:lang w:val="mk-MK" w:eastAsia="mk-MK"/>
                    </w:rPr>
                  </w:pPr>
                  <w:r w:rsidRPr="00B92975">
                    <w:rPr>
                      <w:rFonts w:cs="Arial"/>
                      <w:lang w:val="mk-MK" w:eastAsia="mk-MK"/>
                    </w:rPr>
                    <w:t>обезбедување на сеопфатна усогласеност со интерните политики/правила и релевантната регулатива;</w:t>
                  </w:r>
                </w:p>
                <w:p w14:paraId="16804B21" w14:textId="77777777" w:rsidR="00D3329A" w:rsidRPr="00B92975" w:rsidRDefault="00D3329A" w:rsidP="00D3329A">
                  <w:pPr>
                    <w:pStyle w:val="HTMLPreformatted"/>
                    <w:keepNext/>
                    <w:tabs>
                      <w:tab w:val="left" w:pos="3516"/>
                    </w:tabs>
                    <w:jc w:val="both"/>
                    <w:outlineLvl w:val="2"/>
                    <w:rPr>
                      <w:rFonts w:ascii="Arial" w:eastAsia="Calibri" w:hAnsi="Arial" w:cs="Arial"/>
                      <w:lang w:eastAsia="en-US"/>
                    </w:rPr>
                  </w:pPr>
                  <w:r w:rsidRPr="00B92975">
                    <w:rPr>
                      <w:rFonts w:ascii="Arial" w:eastAsia="Calibri" w:hAnsi="Arial" w:cs="Arial"/>
                      <w:lang w:eastAsia="en-US"/>
                    </w:rPr>
                    <w:t>адекватен систем на внатрешни контроли врз основа на рамката “три линии на одбрана”.</w:t>
                  </w:r>
                </w:p>
                <w:p w14:paraId="52CEFA0B" w14:textId="77777777" w:rsidR="00D3329A" w:rsidRPr="00B92975" w:rsidRDefault="00D3329A" w:rsidP="00D3329A">
                  <w:pPr>
                    <w:pStyle w:val="HTMLPreformatted"/>
                    <w:keepNext/>
                    <w:tabs>
                      <w:tab w:val="left" w:pos="3516"/>
                    </w:tabs>
                    <w:jc w:val="both"/>
                    <w:outlineLvl w:val="2"/>
                    <w:rPr>
                      <w:rFonts w:ascii="Arial" w:hAnsi="Arial" w:cs="Arial"/>
                      <w:b/>
                    </w:rPr>
                  </w:pPr>
                </w:p>
                <w:p w14:paraId="695B55A7" w14:textId="77777777" w:rsidR="00D3329A" w:rsidRPr="00B92975" w:rsidRDefault="00D3329A" w:rsidP="00D3329A">
                  <w:pPr>
                    <w:tabs>
                      <w:tab w:val="left" w:pos="0"/>
                    </w:tabs>
                    <w:jc w:val="both"/>
                    <w:rPr>
                      <w:rFonts w:cs="Arial"/>
                      <w:lang w:val="mk-MK"/>
                    </w:rPr>
                  </w:pPr>
                  <w:r w:rsidRPr="00B92975">
                    <w:rPr>
                      <w:rFonts w:cs="Arial"/>
                      <w:b/>
                    </w:rPr>
                    <w:t>Кредитниот ризик</w:t>
                  </w:r>
                  <w:r w:rsidRPr="00B92975">
                    <w:rPr>
                      <w:rFonts w:cs="Arial"/>
                    </w:rPr>
                    <w:t xml:space="preserve"> претставува материјално најзначаен ризик на кој е изложена Банката и се фокусира кон преземање на умерени ризици и обезбедување оптимален поврат во однос на преземените ризици. </w:t>
                  </w:r>
                  <w:r w:rsidRPr="00B92975">
                    <w:rPr>
                      <w:rFonts w:cs="Arial"/>
                      <w:lang w:val="mk-MK"/>
                    </w:rPr>
                    <w:t>Со цел да се задржи среднорочната и долгорочната одржливост на работењето, Банката одржува избалансиран вкупен ризичен профил (</w:t>
                  </w:r>
                  <w:r w:rsidRPr="00B92975">
                    <w:rPr>
                      <w:rFonts w:cs="Arial"/>
                      <w:lang w:val="en-US"/>
                    </w:rPr>
                    <w:t xml:space="preserve">retail </w:t>
                  </w:r>
                  <w:r w:rsidRPr="00B92975">
                    <w:rPr>
                      <w:rFonts w:cs="Arial"/>
                      <w:lang w:val="mk-MK"/>
                    </w:rPr>
                    <w:t xml:space="preserve">и корпоративни клиенти), со </w:t>
                  </w:r>
                  <w:r w:rsidRPr="00B92975">
                    <w:rPr>
                      <w:rFonts w:cs="Arial"/>
                      <w:b/>
                      <w:lang w:val="mk-MK"/>
                    </w:rPr>
                    <w:t>умерен</w:t>
                  </w:r>
                  <w:r w:rsidRPr="00B92975">
                    <w:rPr>
                      <w:rFonts w:cs="Arial"/>
                      <w:b/>
                      <w:lang w:val="en-US"/>
                    </w:rPr>
                    <w:t xml:space="preserve"> cost of risk</w:t>
                  </w:r>
                  <w:r w:rsidRPr="00B92975">
                    <w:rPr>
                      <w:rFonts w:cs="Arial"/>
                      <w:b/>
                      <w:lang w:val="mk-MK"/>
                    </w:rPr>
                    <w:t xml:space="preserve"> и ризик за концентрација</w:t>
                  </w:r>
                  <w:r w:rsidRPr="00B92975">
                    <w:rPr>
                      <w:rFonts w:cs="Arial"/>
                      <w:lang w:val="mk-MK"/>
                    </w:rPr>
                    <w:t xml:space="preserve"> (концентрација на индустрија, концентрација на клиент), настојуваќи да не биде изложена на прекумерен ризик.</w:t>
                  </w:r>
                  <w:r w:rsidRPr="00B92975">
                    <w:rPr>
                      <w:rFonts w:cs="Arial"/>
                    </w:rPr>
                    <w:t xml:space="preserve"> </w:t>
                  </w:r>
                </w:p>
                <w:p w14:paraId="6FF1E9D1" w14:textId="77777777" w:rsidR="00D3329A" w:rsidRPr="00B92975" w:rsidRDefault="00D3329A" w:rsidP="00D3329A">
                  <w:pPr>
                    <w:pStyle w:val="HTMLPreformatted"/>
                    <w:keepNext/>
                    <w:tabs>
                      <w:tab w:val="left" w:pos="3516"/>
                    </w:tabs>
                    <w:jc w:val="both"/>
                    <w:outlineLvl w:val="2"/>
                    <w:rPr>
                      <w:rFonts w:ascii="Arial" w:hAnsi="Arial" w:cs="Arial"/>
                      <w:lang w:val="en-US"/>
                    </w:rPr>
                  </w:pPr>
                  <w:r w:rsidRPr="00B92975">
                    <w:rPr>
                      <w:rFonts w:ascii="Arial" w:hAnsi="Arial" w:cs="Arial"/>
                    </w:rPr>
                    <w:t>Согласно Апетитот за ризик, во сегментот на работење со големи, средни и мали претријатија се потенцира просечно преземање на кредитен ризик и обезбедување на отпимизирана профитабилност</w:t>
                  </w:r>
                  <w:r w:rsidRPr="00B92975">
                    <w:rPr>
                      <w:rFonts w:ascii="Arial" w:hAnsi="Arial" w:cs="Arial"/>
                      <w:lang w:val="en-US"/>
                    </w:rPr>
                    <w:t xml:space="preserve"> </w:t>
                  </w:r>
                  <w:r w:rsidRPr="00B92975">
                    <w:rPr>
                      <w:rFonts w:ascii="Arial" w:hAnsi="Arial" w:cs="Arial"/>
                    </w:rPr>
                    <w:t>која подлежи на ризик. Поради просечни ризици и ниски потреби од покритие со капитал, сегментот retail придонесува кон профитабилност на работењето на НЛБ Банка. Целни сегменти од перспектива на кредитоспособноста на клиентот се само клиенти со рејтинг од А и Б, согласно Политиката за кредитирање. Во врска со нови зделки НЛБ Банка има намера да постигне најмалку минимален поврат на капитал кој подлежи на ризик (во врска исто така и со насоките на Европската комисија).</w:t>
                  </w:r>
                  <w:r w:rsidRPr="00B92975">
                    <w:t xml:space="preserve"> </w:t>
                  </w:r>
                  <w:r w:rsidRPr="00B92975">
                    <w:rPr>
                      <w:rFonts w:ascii="Arial" w:hAnsi="Arial" w:cs="Arial"/>
                    </w:rPr>
                    <w:t>Во насока на намалување на изложеноста на кредитен ризик Банката утврдува лимити на изложеност по: дејности, пазарни сегменти, географска изложеност и поединечни кредитни продукти, по пооделни типови на обезбедување и др.</w:t>
                  </w:r>
                </w:p>
                <w:p w14:paraId="2EA3E453" w14:textId="77777777" w:rsidR="00D3329A" w:rsidRPr="00B92975" w:rsidRDefault="00D3329A" w:rsidP="00D3329A">
                  <w:pPr>
                    <w:pStyle w:val="HTMLPreformatted"/>
                    <w:keepNext/>
                    <w:tabs>
                      <w:tab w:val="left" w:pos="3516"/>
                    </w:tabs>
                    <w:jc w:val="both"/>
                    <w:outlineLvl w:val="2"/>
                    <w:rPr>
                      <w:rFonts w:ascii="Arial" w:hAnsi="Arial" w:cs="Arial"/>
                    </w:rPr>
                  </w:pPr>
                  <w:r w:rsidRPr="00B92975">
                    <w:rPr>
                      <w:rFonts w:ascii="Arial" w:hAnsi="Arial" w:cs="Arial"/>
                    </w:rPr>
                    <w:t>Материјално значајните клиенти на НЛБ Групацијата се оценувани на ниво на Групацијата, во согласност со стандардите на ниво на НЛБ Групацијата.</w:t>
                  </w:r>
                </w:p>
                <w:p w14:paraId="607AFF1F" w14:textId="77777777" w:rsidR="00D3329A" w:rsidRPr="00B92975" w:rsidRDefault="00D3329A" w:rsidP="00D3329A">
                  <w:pPr>
                    <w:pStyle w:val="HTMLPreformatted"/>
                    <w:keepNext/>
                    <w:tabs>
                      <w:tab w:val="left" w:pos="3516"/>
                    </w:tabs>
                    <w:jc w:val="both"/>
                    <w:outlineLvl w:val="2"/>
                    <w:rPr>
                      <w:rFonts w:ascii="Arial" w:hAnsi="Arial" w:cs="Arial"/>
                      <w:bCs/>
                      <w:sz w:val="30"/>
                      <w:szCs w:val="30"/>
                    </w:rPr>
                  </w:pPr>
                  <w:r w:rsidRPr="00B92975">
                    <w:rPr>
                      <w:rFonts w:ascii="Arial" w:hAnsi="Arial" w:cs="Arial"/>
                    </w:rPr>
                    <w:t>Покриеноста на пласманите со издвоените резервации се одржува на задоволително ниво.</w:t>
                  </w:r>
                </w:p>
                <w:p w14:paraId="699A203A" w14:textId="77777777" w:rsidR="00D3329A" w:rsidRPr="00B92975" w:rsidRDefault="00D3329A" w:rsidP="00D3329A">
                  <w:pPr>
                    <w:pStyle w:val="HTMLPreformatted"/>
                    <w:jc w:val="both"/>
                    <w:rPr>
                      <w:rStyle w:val="hps"/>
                      <w:rFonts w:ascii="Arial" w:hAnsi="Arial" w:cs="Arial"/>
                    </w:rPr>
                  </w:pPr>
                  <w:r w:rsidRPr="00B92975">
                    <w:rPr>
                      <w:rFonts w:ascii="Arial" w:hAnsi="Arial" w:cs="Arial"/>
                    </w:rPr>
                    <w:t xml:space="preserve">Според Апетитот за ризик на Банката, </w:t>
                  </w:r>
                  <w:r w:rsidRPr="00B92975">
                    <w:rPr>
                      <w:rFonts w:ascii="Arial" w:hAnsi="Arial" w:cs="Arial"/>
                      <w:u w:val="single"/>
                    </w:rPr>
                    <w:t>толеранцијата кон ликвидносниот ризик е ниска</w:t>
                  </w:r>
                  <w:r w:rsidRPr="00B92975">
                    <w:rPr>
                      <w:rFonts w:ascii="Arial" w:hAnsi="Arial" w:cs="Arial"/>
                    </w:rPr>
                    <w:t xml:space="preserve">. Затоа Банката одржува задоволително ниво на ликвидносни резерви и добро диверзифицирани извори за финансирање. </w:t>
                  </w:r>
                  <w:r w:rsidRPr="00B92975">
                    <w:rPr>
                      <w:rStyle w:val="hps"/>
                      <w:rFonts w:ascii="Arial" w:hAnsi="Arial" w:cs="Arial"/>
                    </w:rPr>
                    <w:t>Банката мора да има соодветно ниво на ликвидносни резерви за да ги покрие доспеаните и потенцијалните обврски и истите треба да бидат достапни во многу краток временски период.</w:t>
                  </w:r>
                </w:p>
                <w:p w14:paraId="58D33459" w14:textId="77777777" w:rsidR="00D3329A" w:rsidRPr="00B92975" w:rsidRDefault="00D3329A" w:rsidP="00D3329A">
                  <w:pPr>
                    <w:pStyle w:val="HTMLPreformatted"/>
                    <w:jc w:val="both"/>
                    <w:rPr>
                      <w:rFonts w:ascii="Arial" w:hAnsi="Arial" w:cs="Arial"/>
                    </w:rPr>
                  </w:pPr>
                  <w:r w:rsidRPr="00B92975">
                    <w:rPr>
                      <w:rFonts w:ascii="Arial" w:hAnsi="Arial" w:cs="Arial"/>
                    </w:rPr>
                    <w:lastRenderedPageBreak/>
                    <w:t>Деловните активности на Банката,  во доменот на управување со ликвидносниот ризик, се насочени кон:</w:t>
                  </w:r>
                </w:p>
                <w:p w14:paraId="398C2E06" w14:textId="77777777" w:rsidR="00D3329A" w:rsidRPr="00B92975" w:rsidRDefault="00D3329A" w:rsidP="00D3329A">
                  <w:pPr>
                    <w:pStyle w:val="HTMLPreformatted"/>
                    <w:numPr>
                      <w:ilvl w:val="0"/>
                      <w:numId w:val="18"/>
                    </w:numPr>
                    <w:pBdr>
                      <w:top w:val="nil"/>
                      <w:left w:val="nil"/>
                      <w:bottom w:val="nil"/>
                      <w:right w:val="nil"/>
                      <w:between w:val="nil"/>
                      <w:bar w:val="nil"/>
                    </w:pBdr>
                    <w:jc w:val="both"/>
                    <w:rPr>
                      <w:rFonts w:ascii="Arial" w:hAnsi="Arial" w:cs="Arial"/>
                    </w:rPr>
                  </w:pPr>
                  <w:r w:rsidRPr="00B92975">
                    <w:rPr>
                      <w:rFonts w:ascii="Arial" w:hAnsi="Arial" w:cs="Arial"/>
                    </w:rPr>
                    <w:t xml:space="preserve">одржување на стабилно ниво на ликвидност обезбедувајќи редовно подмирување на сите доспеани обврски на Банката; </w:t>
                  </w:r>
                </w:p>
                <w:p w14:paraId="51CE610A" w14:textId="77777777" w:rsidR="00D3329A" w:rsidRPr="00B92975" w:rsidRDefault="00D3329A" w:rsidP="00D3329A">
                  <w:pPr>
                    <w:pStyle w:val="HTMLPreformatted"/>
                    <w:numPr>
                      <w:ilvl w:val="0"/>
                      <w:numId w:val="18"/>
                    </w:numPr>
                    <w:pBdr>
                      <w:top w:val="nil"/>
                      <w:left w:val="nil"/>
                      <w:bottom w:val="nil"/>
                      <w:right w:val="nil"/>
                      <w:between w:val="nil"/>
                      <w:bar w:val="nil"/>
                    </w:pBdr>
                    <w:jc w:val="both"/>
                    <w:rPr>
                      <w:rFonts w:ascii="Arial" w:hAnsi="Arial" w:cs="Arial"/>
                    </w:rPr>
                  </w:pPr>
                  <w:r w:rsidRPr="00B92975">
                    <w:rPr>
                      <w:rFonts w:ascii="Arial" w:hAnsi="Arial" w:cs="Arial"/>
                    </w:rPr>
                    <w:t>одржување на показателот кредити во небанкарскиот сектор во однос на депозити во небанкарскиот сектор до максимум 105%;</w:t>
                  </w:r>
                </w:p>
                <w:p w14:paraId="756D93B2" w14:textId="77777777" w:rsidR="00D3329A" w:rsidRPr="00B92975" w:rsidRDefault="00D3329A" w:rsidP="00D3329A">
                  <w:pPr>
                    <w:pStyle w:val="HTMLPreformatted"/>
                    <w:numPr>
                      <w:ilvl w:val="0"/>
                      <w:numId w:val="18"/>
                    </w:numPr>
                    <w:pBdr>
                      <w:top w:val="nil"/>
                      <w:left w:val="nil"/>
                      <w:bottom w:val="nil"/>
                      <w:right w:val="nil"/>
                      <w:between w:val="nil"/>
                      <w:bar w:val="nil"/>
                    </w:pBdr>
                    <w:jc w:val="both"/>
                    <w:rPr>
                      <w:rFonts w:ascii="Arial" w:hAnsi="Arial" w:cs="Arial"/>
                    </w:rPr>
                  </w:pPr>
                  <w:r w:rsidRPr="00B92975">
                    <w:rPr>
                      <w:rFonts w:ascii="Arial" w:hAnsi="Arial" w:cs="Arial"/>
                    </w:rPr>
                    <w:t>одржување на исполнување на показателот за ликвидност – Стапка на покриеност со ликвидност согласно Одлука за методологијата за управување со ликвидносниот ризик на НБРСМ;</w:t>
                  </w:r>
                </w:p>
                <w:p w14:paraId="07C8166B" w14:textId="77777777" w:rsidR="00D3329A" w:rsidRPr="00B92975" w:rsidRDefault="00D3329A" w:rsidP="00D3329A">
                  <w:pPr>
                    <w:pStyle w:val="HTMLPreformatted"/>
                    <w:numPr>
                      <w:ilvl w:val="0"/>
                      <w:numId w:val="18"/>
                    </w:numPr>
                    <w:jc w:val="both"/>
                  </w:pPr>
                  <w:r w:rsidRPr="00B92975">
                    <w:rPr>
                      <w:rFonts w:ascii="Arial" w:hAnsi="Arial" w:cs="Arial"/>
                    </w:rPr>
                    <w:t xml:space="preserve">одржување на исполнувањето на стресните показателите - liquidity coverage ratio и NSFR - net stable funding ratio на ниво поголемо или еднакво од 100%. Целната вредност на LCR показателот е  минимум 130%, додека NSFR показателот има целна вредност е минимум 120%. </w:t>
                  </w:r>
                </w:p>
                <w:p w14:paraId="2210B900" w14:textId="77777777" w:rsidR="00D3329A" w:rsidRPr="00B92975" w:rsidRDefault="00D3329A" w:rsidP="00D3329A">
                  <w:pPr>
                    <w:pStyle w:val="HTMLPreformatted"/>
                    <w:ind w:left="720"/>
                    <w:jc w:val="both"/>
                    <w:rPr>
                      <w:sz w:val="30"/>
                      <w:szCs w:val="30"/>
                    </w:rPr>
                  </w:pPr>
                </w:p>
                <w:p w14:paraId="7695FC54" w14:textId="77777777" w:rsidR="00D3329A" w:rsidRPr="00B92975" w:rsidRDefault="00D3329A" w:rsidP="00D3329A">
                  <w:pPr>
                    <w:keepNext/>
                    <w:jc w:val="both"/>
                    <w:outlineLvl w:val="2"/>
                    <w:rPr>
                      <w:rFonts w:cs="Arial"/>
                    </w:rPr>
                  </w:pPr>
                  <w:r w:rsidRPr="00B92975">
                    <w:rPr>
                      <w:lang w:val="mk-MK"/>
                    </w:rPr>
                    <w:t xml:space="preserve">Земајќи го предвид ризичниот апетит, во областа на </w:t>
                  </w:r>
                  <w:r w:rsidRPr="00B92975">
                    <w:rPr>
                      <w:b/>
                      <w:lang w:val="mk-MK"/>
                    </w:rPr>
                    <w:t xml:space="preserve">валутниот ризик </w:t>
                  </w:r>
                  <w:r w:rsidRPr="00B92975">
                    <w:rPr>
                      <w:lang w:val="mk-MK"/>
                    </w:rPr>
                    <w:t xml:space="preserve">Банката цели кон </w:t>
                  </w:r>
                  <w:r w:rsidRPr="00B92975">
                    <w:rPr>
                      <w:u w:val="single"/>
                      <w:lang w:val="en-US"/>
                    </w:rPr>
                    <w:t xml:space="preserve"> </w:t>
                  </w:r>
                  <w:r w:rsidRPr="00B92975">
                    <w:rPr>
                      <w:u w:val="single"/>
                      <w:lang w:val="mk-MK"/>
                    </w:rPr>
                    <w:t>умерена толеранција на изложеност</w:t>
                  </w:r>
                  <w:r w:rsidRPr="00B92975">
                    <w:rPr>
                      <w:lang w:val="mk-MK"/>
                    </w:rPr>
                    <w:t>. Управувањето со валутен ризик се врши во рамките на утврдените интерни лимити. Сепак, индексацијата на кредитните пласмани со валутни клаузули соодветни на изворите Банката го дефинира како индиректен кредитен ризик при промена на цените на валутите, поради што овој вид ризик кај клиентите се оценува интегрално со кредитниот ризик. При управување со валутен ризик, главна странска валута е еврото, додека движењето на отворената девизна позиција е дозволено во рамките на утврдените лимити.</w:t>
                  </w:r>
                </w:p>
                <w:p w14:paraId="72FE1FB8" w14:textId="77777777" w:rsidR="00D3329A" w:rsidRPr="00B92975" w:rsidRDefault="00D3329A" w:rsidP="00D3329A">
                  <w:pPr>
                    <w:pStyle w:val="HTMLPreformatted"/>
                    <w:jc w:val="both"/>
                    <w:rPr>
                      <w:rFonts w:ascii="Arial" w:hAnsi="Arial" w:cs="Times New Roman"/>
                      <w:lang w:val="en-GB" w:eastAsia="en-US"/>
                    </w:rPr>
                  </w:pPr>
                </w:p>
                <w:p w14:paraId="1A13C3C4" w14:textId="77777777" w:rsidR="00D3329A" w:rsidRPr="00B92975" w:rsidRDefault="00D3329A" w:rsidP="00D3329A">
                  <w:pPr>
                    <w:pStyle w:val="HTMLPreformatted"/>
                    <w:jc w:val="both"/>
                    <w:rPr>
                      <w:rFonts w:ascii="Arial" w:hAnsi="Arial" w:cs="Times New Roman"/>
                      <w:lang w:eastAsia="en-US"/>
                    </w:rPr>
                  </w:pPr>
                </w:p>
                <w:p w14:paraId="0349FBAA" w14:textId="77777777" w:rsidR="00D3329A" w:rsidRPr="00B92975" w:rsidRDefault="00D3329A" w:rsidP="00D3329A">
                  <w:pPr>
                    <w:pStyle w:val="HTMLPreformatted"/>
                    <w:jc w:val="both"/>
                    <w:rPr>
                      <w:rFonts w:ascii="Arial" w:hAnsi="Arial" w:cs="Times New Roman"/>
                      <w:lang w:eastAsia="en-US"/>
                    </w:rPr>
                  </w:pPr>
                  <w:r w:rsidRPr="00B92975">
                    <w:rPr>
                      <w:rFonts w:ascii="Arial" w:hAnsi="Arial" w:cs="Times New Roman"/>
                      <w:lang w:eastAsia="en-US"/>
                    </w:rPr>
                    <w:t xml:space="preserve">При управувањето со </w:t>
                  </w:r>
                  <w:r w:rsidRPr="00B92975">
                    <w:rPr>
                      <w:rFonts w:ascii="Arial" w:hAnsi="Arial" w:cs="Times New Roman"/>
                      <w:b/>
                      <w:lang w:eastAsia="en-US"/>
                    </w:rPr>
                    <w:t>каматен ризик,</w:t>
                  </w:r>
                  <w:r w:rsidRPr="00B92975">
                    <w:rPr>
                      <w:rFonts w:ascii="Arial" w:hAnsi="Arial" w:cs="Times New Roman"/>
                      <w:lang w:eastAsia="en-US"/>
                    </w:rPr>
                    <w:t xml:space="preserve"> </w:t>
                  </w:r>
                  <w:r w:rsidRPr="00B92975">
                    <w:rPr>
                      <w:rFonts w:ascii="Arial" w:hAnsi="Arial" w:cs="Arial"/>
                    </w:rPr>
                    <w:t>Банката се стреми кон минимизирање на потенцијалното негативно влијание кое произлегува од потенцијалната промена на каматните стапки врз износот на нето каматните приходи и минимизирање на негативните ефекти од вреднувањето на финансиските инструменти врз капиталот на Банката. Во таа насока</w:t>
                  </w:r>
                  <w:r w:rsidRPr="00B92975">
                    <w:t xml:space="preserve"> </w:t>
                  </w:r>
                  <w:r w:rsidRPr="00B92975">
                    <w:rPr>
                      <w:rFonts w:ascii="Arial" w:hAnsi="Arial" w:cs="Times New Roman"/>
                      <w:lang w:eastAsia="en-US"/>
                    </w:rPr>
                    <w:t xml:space="preserve">дефинирана е </w:t>
                  </w:r>
                  <w:r w:rsidRPr="00B92975">
                    <w:rPr>
                      <w:rFonts w:ascii="Arial" w:hAnsi="Arial" w:cs="Times New Roman"/>
                      <w:u w:val="single"/>
                      <w:lang w:eastAsia="en-US"/>
                    </w:rPr>
                    <w:t>умерена толеранција</w:t>
                  </w:r>
                  <w:r w:rsidRPr="00B92975">
                    <w:rPr>
                      <w:rFonts w:ascii="Arial" w:hAnsi="Arial" w:cs="Times New Roman"/>
                      <w:lang w:eastAsia="en-US"/>
                    </w:rPr>
                    <w:t xml:space="preserve"> на Банката кон овој ризик.</w:t>
                  </w:r>
                  <w:r w:rsidRPr="00B92975">
                    <w:rPr>
                      <w:rFonts w:ascii="Arial" w:hAnsi="Arial" w:cs="Times New Roman"/>
                      <w:lang w:val="en-US" w:eastAsia="en-US"/>
                    </w:rPr>
                    <w:t xml:space="preserve"> </w:t>
                  </w:r>
                  <w:r w:rsidRPr="00B92975">
                    <w:rPr>
                      <w:rFonts w:ascii="Arial" w:hAnsi="Arial" w:cs="Arial"/>
                    </w:rPr>
                    <w:t xml:space="preserve">Управувањето со каматен ризик опфаќа: </w:t>
                  </w:r>
                </w:p>
                <w:p w14:paraId="48486AD8" w14:textId="77777777" w:rsidR="00D3329A" w:rsidRPr="00B92975" w:rsidRDefault="00D3329A" w:rsidP="00D3329A">
                  <w:pPr>
                    <w:pStyle w:val="HTMLPreformatted"/>
                    <w:numPr>
                      <w:ilvl w:val="0"/>
                      <w:numId w:val="16"/>
                    </w:numPr>
                    <w:jc w:val="both"/>
                    <w:rPr>
                      <w:rFonts w:ascii="Arial" w:hAnsi="Arial" w:cs="Times New Roman"/>
                      <w:lang w:eastAsia="en-US"/>
                    </w:rPr>
                  </w:pPr>
                  <w:r w:rsidRPr="00B92975">
                    <w:rPr>
                      <w:rFonts w:ascii="Arial" w:hAnsi="Arial" w:cs="Times New Roman"/>
                      <w:lang w:eastAsia="en-US"/>
                    </w:rPr>
                    <w:t xml:space="preserve">следење на утврдените лимити по каматни гапови и преземање активни мерки при нивно приближување; </w:t>
                  </w:r>
                </w:p>
                <w:p w14:paraId="1D37C241" w14:textId="77777777" w:rsidR="00D3329A" w:rsidRPr="00B92975" w:rsidRDefault="00D3329A" w:rsidP="00D3329A">
                  <w:pPr>
                    <w:pStyle w:val="HTMLPreformatted"/>
                    <w:numPr>
                      <w:ilvl w:val="0"/>
                      <w:numId w:val="16"/>
                    </w:numPr>
                    <w:jc w:val="both"/>
                    <w:rPr>
                      <w:rFonts w:ascii="Arial" w:hAnsi="Arial" w:cs="Times New Roman"/>
                      <w:lang w:eastAsia="en-US"/>
                    </w:rPr>
                  </w:pPr>
                  <w:r w:rsidRPr="00B92975">
                    <w:rPr>
                      <w:rFonts w:ascii="Arial" w:hAnsi="Arial" w:cs="Times New Roman"/>
                      <w:lang w:eastAsia="en-US"/>
                    </w:rPr>
                    <w:t xml:space="preserve">движење во насока на намалување на отворените каматни гапови кај долгите рокови и одржување на низок профил на изложеност на каматен ризик; </w:t>
                  </w:r>
                </w:p>
                <w:p w14:paraId="7F2403A9" w14:textId="77777777" w:rsidR="00D3329A" w:rsidRPr="00B92975" w:rsidRDefault="00D3329A" w:rsidP="00D3329A">
                  <w:pPr>
                    <w:pStyle w:val="HTMLPreformatted"/>
                    <w:numPr>
                      <w:ilvl w:val="0"/>
                      <w:numId w:val="16"/>
                    </w:numPr>
                    <w:jc w:val="both"/>
                    <w:rPr>
                      <w:rFonts w:ascii="Arial" w:hAnsi="Arial" w:cs="Times New Roman"/>
                      <w:lang w:eastAsia="en-US"/>
                    </w:rPr>
                  </w:pPr>
                  <w:r w:rsidRPr="00B92975">
                    <w:rPr>
                      <w:rFonts w:ascii="Arial" w:hAnsi="Arial" w:cs="Times New Roman"/>
                      <w:lang w:eastAsia="en-US"/>
                    </w:rPr>
                    <w:t>следење на каматни криви на домашен и странски пазар и активно и превентивно прилагодување на каматните стапки.</w:t>
                  </w:r>
                </w:p>
                <w:p w14:paraId="23AD789C" w14:textId="77777777" w:rsidR="00D3329A" w:rsidRPr="00B92975" w:rsidRDefault="00D3329A" w:rsidP="00D3329A">
                  <w:pPr>
                    <w:jc w:val="both"/>
                    <w:rPr>
                      <w:rFonts w:cs="Arial"/>
                      <w:lang w:val="en-US"/>
                    </w:rPr>
                  </w:pPr>
                </w:p>
                <w:p w14:paraId="50F8C938" w14:textId="77777777" w:rsidR="00D3329A" w:rsidRPr="00B92975" w:rsidRDefault="00D3329A" w:rsidP="00D3329A">
                  <w:pPr>
                    <w:jc w:val="both"/>
                    <w:rPr>
                      <w:lang w:val="mk-MK"/>
                    </w:rPr>
                  </w:pPr>
                  <w:r w:rsidRPr="00B92975">
                    <w:rPr>
                      <w:rFonts w:cs="Arial"/>
                      <w:b/>
                      <w:bCs/>
                    </w:rPr>
                    <w:t>Cr</w:t>
                  </w:r>
                  <w:r w:rsidRPr="00B92975">
                    <w:rPr>
                      <w:rFonts w:cs="Arial"/>
                      <w:b/>
                      <w:bCs/>
                      <w:spacing w:val="-1"/>
                    </w:rPr>
                    <w:t>e</w:t>
                  </w:r>
                  <w:r w:rsidRPr="00B92975">
                    <w:rPr>
                      <w:rFonts w:cs="Arial"/>
                      <w:b/>
                      <w:bCs/>
                    </w:rPr>
                    <w:t>dit</w:t>
                  </w:r>
                  <w:r w:rsidRPr="00B92975">
                    <w:rPr>
                      <w:rFonts w:cs="Arial"/>
                      <w:b/>
                      <w:bCs/>
                      <w:spacing w:val="4"/>
                    </w:rPr>
                    <w:t xml:space="preserve"> </w:t>
                  </w:r>
                  <w:r w:rsidRPr="00B92975">
                    <w:rPr>
                      <w:rFonts w:cs="Arial"/>
                      <w:b/>
                      <w:bCs/>
                    </w:rPr>
                    <w:t>sp</w:t>
                  </w:r>
                  <w:r w:rsidRPr="00B92975">
                    <w:rPr>
                      <w:rFonts w:cs="Arial"/>
                      <w:b/>
                      <w:bCs/>
                      <w:spacing w:val="1"/>
                    </w:rPr>
                    <w:t>r</w:t>
                  </w:r>
                  <w:r w:rsidRPr="00B92975">
                    <w:rPr>
                      <w:rFonts w:cs="Arial"/>
                      <w:b/>
                      <w:bCs/>
                    </w:rPr>
                    <w:t>e</w:t>
                  </w:r>
                  <w:r w:rsidRPr="00B92975">
                    <w:rPr>
                      <w:rFonts w:cs="Arial"/>
                      <w:b/>
                      <w:bCs/>
                      <w:spacing w:val="-1"/>
                    </w:rPr>
                    <w:t>a</w:t>
                  </w:r>
                  <w:r w:rsidRPr="00B92975">
                    <w:rPr>
                      <w:rFonts w:cs="Arial"/>
                      <w:b/>
                      <w:bCs/>
                    </w:rPr>
                    <w:t>d</w:t>
                  </w:r>
                  <w:r w:rsidRPr="00B92975">
                    <w:rPr>
                      <w:rFonts w:cs="Arial"/>
                      <w:b/>
                      <w:bCs/>
                      <w:spacing w:val="4"/>
                    </w:rPr>
                    <w:t xml:space="preserve"> </w:t>
                  </w:r>
                  <w:r w:rsidRPr="00B92975">
                    <w:rPr>
                      <w:rFonts w:cs="Arial"/>
                      <w:b/>
                      <w:bCs/>
                      <w:spacing w:val="4"/>
                      <w:lang w:val="mk-MK"/>
                    </w:rPr>
                    <w:t xml:space="preserve">ризикот </w:t>
                  </w:r>
                  <w:r w:rsidRPr="00B92975">
                    <w:rPr>
                      <w:rFonts w:cs="Arial"/>
                      <w:bCs/>
                      <w:spacing w:val="5"/>
                      <w:lang w:val="mk-MK"/>
                    </w:rPr>
                    <w:t xml:space="preserve">произлегува од вложувањето во должнички хартии од вредност, кои ги сочинуваат </w:t>
                  </w:r>
                  <w:r w:rsidRPr="00B92975">
                    <w:rPr>
                      <w:lang w:val="mk-MK"/>
                    </w:rPr>
                    <w:t xml:space="preserve">резервите на ликвидност </w:t>
                  </w:r>
                  <w:r w:rsidRPr="00B92975">
                    <w:rPr>
                      <w:rFonts w:cs="Arial"/>
                      <w:bCs/>
                      <w:spacing w:val="5"/>
                      <w:lang w:val="mk-MK"/>
                    </w:rPr>
                    <w:t>на Банката</w:t>
                  </w:r>
                  <w:r w:rsidRPr="00B92975">
                    <w:rPr>
                      <w:lang w:val="mk-MK"/>
                    </w:rPr>
                    <w:t xml:space="preserve">. За одржување на силна ликвидносна позиција, должничките хартии од вредност мора да бидат високо квалитетни и добро диверзифицирани. Во таа насока </w:t>
                  </w:r>
                  <w:r w:rsidRPr="00B92975">
                    <w:t xml:space="preserve">дефинирана е </w:t>
                  </w:r>
                  <w:r w:rsidRPr="00B92975">
                    <w:rPr>
                      <w:u w:val="single"/>
                      <w:lang w:val="mk-MK"/>
                    </w:rPr>
                    <w:t>умерена</w:t>
                  </w:r>
                  <w:r w:rsidRPr="00B92975">
                    <w:rPr>
                      <w:u w:val="single"/>
                    </w:rPr>
                    <w:t xml:space="preserve"> толеранција</w:t>
                  </w:r>
                  <w:r w:rsidRPr="00B92975">
                    <w:t xml:space="preserve"> на Банката </w:t>
                  </w:r>
                  <w:r w:rsidRPr="00B92975">
                    <w:rPr>
                      <w:lang w:val="mk-MK"/>
                    </w:rPr>
                    <w:t xml:space="preserve">за </w:t>
                  </w:r>
                  <w:r w:rsidRPr="00B92975">
                    <w:rPr>
                      <w:rFonts w:cs="Arial"/>
                      <w:bCs/>
                    </w:rPr>
                    <w:t>Cr</w:t>
                  </w:r>
                  <w:r w:rsidRPr="00B92975">
                    <w:rPr>
                      <w:rFonts w:cs="Arial"/>
                      <w:bCs/>
                      <w:spacing w:val="-1"/>
                    </w:rPr>
                    <w:t>e</w:t>
                  </w:r>
                  <w:r w:rsidRPr="00B92975">
                    <w:rPr>
                      <w:rFonts w:cs="Arial"/>
                      <w:bCs/>
                    </w:rPr>
                    <w:t>dit</w:t>
                  </w:r>
                  <w:r w:rsidRPr="00B92975">
                    <w:rPr>
                      <w:rFonts w:cs="Arial"/>
                      <w:bCs/>
                      <w:spacing w:val="4"/>
                    </w:rPr>
                    <w:t xml:space="preserve"> </w:t>
                  </w:r>
                  <w:r w:rsidRPr="00B92975">
                    <w:rPr>
                      <w:rFonts w:cs="Arial"/>
                      <w:bCs/>
                    </w:rPr>
                    <w:t>sp</w:t>
                  </w:r>
                  <w:r w:rsidRPr="00B92975">
                    <w:rPr>
                      <w:rFonts w:cs="Arial"/>
                      <w:bCs/>
                      <w:spacing w:val="1"/>
                    </w:rPr>
                    <w:t>r</w:t>
                  </w:r>
                  <w:r w:rsidRPr="00B92975">
                    <w:rPr>
                      <w:rFonts w:cs="Arial"/>
                      <w:bCs/>
                    </w:rPr>
                    <w:t>e</w:t>
                  </w:r>
                  <w:r w:rsidRPr="00B92975">
                    <w:rPr>
                      <w:rFonts w:cs="Arial"/>
                      <w:bCs/>
                      <w:spacing w:val="-1"/>
                    </w:rPr>
                    <w:t>a</w:t>
                  </w:r>
                  <w:r w:rsidRPr="00B92975">
                    <w:rPr>
                      <w:rFonts w:cs="Arial"/>
                      <w:bCs/>
                    </w:rPr>
                    <w:t>d</w:t>
                  </w:r>
                  <w:r w:rsidRPr="00B92975">
                    <w:rPr>
                      <w:rFonts w:cs="Arial"/>
                      <w:bCs/>
                      <w:spacing w:val="4"/>
                    </w:rPr>
                    <w:t xml:space="preserve"> </w:t>
                  </w:r>
                  <w:r w:rsidRPr="00B92975">
                    <w:t>ризик</w:t>
                  </w:r>
                  <w:r w:rsidRPr="00B92975">
                    <w:rPr>
                      <w:lang w:val="mk-MK"/>
                    </w:rPr>
                    <w:t xml:space="preserve">от. </w:t>
                  </w:r>
                </w:p>
                <w:p w14:paraId="734C4D4C" w14:textId="77777777" w:rsidR="00D3329A" w:rsidRPr="00B92975" w:rsidRDefault="00D3329A" w:rsidP="00D3329A">
                  <w:pPr>
                    <w:rPr>
                      <w:b/>
                      <w:sz w:val="30"/>
                      <w:szCs w:val="30"/>
                      <w:lang w:val="mk-MK"/>
                    </w:rPr>
                  </w:pPr>
                </w:p>
                <w:p w14:paraId="513E4249" w14:textId="77777777" w:rsidR="00D3329A" w:rsidRPr="00B92975" w:rsidRDefault="00D3329A" w:rsidP="00D3329A">
                  <w:pPr>
                    <w:pStyle w:val="BodyText"/>
                    <w:spacing w:after="0"/>
                    <w:ind w:right="113"/>
                    <w:jc w:val="both"/>
                    <w:rPr>
                      <w:lang w:val="mk-MK"/>
                    </w:rPr>
                  </w:pPr>
                  <w:r w:rsidRPr="00B92975">
                    <w:rPr>
                      <w:rStyle w:val="hps"/>
                      <w:lang w:val="mk-MK"/>
                    </w:rPr>
                    <w:t xml:space="preserve">При преземање на </w:t>
                  </w:r>
                  <w:r w:rsidRPr="00B92975">
                    <w:rPr>
                      <w:rStyle w:val="hps"/>
                      <w:b/>
                      <w:lang w:val="mk-MK"/>
                    </w:rPr>
                    <w:t>оперативен ризик</w:t>
                  </w:r>
                  <w:r w:rsidRPr="00B92975">
                    <w:rPr>
                      <w:rStyle w:val="hps"/>
                      <w:lang w:val="mk-MK"/>
                    </w:rPr>
                    <w:t xml:space="preserve">, Банката се води по тоа дека ваков ризик не смее значајно да влијае врз работењето, поради што </w:t>
                  </w:r>
                  <w:r w:rsidRPr="00B92975">
                    <w:rPr>
                      <w:rStyle w:val="hps"/>
                      <w:u w:val="single"/>
                      <w:lang w:val="mk-MK"/>
                    </w:rPr>
                    <w:t>ризичниот апетит</w:t>
                  </w:r>
                  <w:r w:rsidRPr="00B92975">
                    <w:rPr>
                      <w:rFonts w:cs="Arial"/>
                      <w:b/>
                      <w:lang w:val="mk-MK"/>
                    </w:rPr>
                    <w:t>за оперативни ризици е умерен</w:t>
                  </w:r>
                  <w:r w:rsidRPr="00B92975">
                    <w:rPr>
                      <w:rFonts w:cs="Arial"/>
                      <w:lang w:val="en-US"/>
                    </w:rPr>
                    <w:t>.</w:t>
                  </w:r>
                  <w:r w:rsidRPr="00B92975">
                    <w:rPr>
                      <w:rStyle w:val="hps"/>
                      <w:lang w:val="mk-MK"/>
                    </w:rPr>
                    <w:t xml:space="preserve">. Банката во моментов сеуште има просечна сложеност во работењето. </w:t>
                  </w:r>
                  <w:r w:rsidRPr="00B92975">
                    <w:rPr>
                      <w:lang w:val="mk-MK"/>
                    </w:rPr>
                    <w:t>Целта на управувањето со оперативниот ризик е да се ограничи обемот на потенцијалните загуби и веројатноста за нивно настанување на ниво кое што е прифатливо за Банката од аспект на финансиска загуба и индиректно, од аспект на одржување на репутацијата на Банката.</w:t>
                  </w:r>
                </w:p>
                <w:p w14:paraId="5C81D717" w14:textId="77777777" w:rsidR="00D3329A" w:rsidRPr="00B92975" w:rsidRDefault="00D3329A" w:rsidP="00D3329A">
                  <w:pPr>
                    <w:pStyle w:val="HTMLPreformatted"/>
                    <w:jc w:val="both"/>
                    <w:rPr>
                      <w:rFonts w:ascii="Arial" w:hAnsi="Arial" w:cs="Arial"/>
                    </w:rPr>
                  </w:pPr>
                  <w:r w:rsidRPr="00B92975">
                    <w:rPr>
                      <w:rFonts w:ascii="Arial" w:hAnsi="Arial" w:cs="Arial"/>
                    </w:rPr>
                    <w:t xml:space="preserve">Активностите на подрачјето на управување со </w:t>
                  </w:r>
                  <w:r w:rsidRPr="00B92975">
                    <w:rPr>
                      <w:rFonts w:ascii="Arial" w:hAnsi="Arial" w:cs="Arial"/>
                      <w:b/>
                    </w:rPr>
                    <w:t>оперативниот ризик</w:t>
                  </w:r>
                  <w:r w:rsidRPr="00B92975">
                    <w:rPr>
                      <w:rFonts w:ascii="Arial" w:hAnsi="Arial" w:cs="Arial"/>
                    </w:rPr>
                    <w:t xml:space="preserve"> се однесуваат на:</w:t>
                  </w:r>
                </w:p>
                <w:p w14:paraId="7C256EC2" w14:textId="77777777" w:rsidR="00D3329A" w:rsidRPr="00B92975" w:rsidRDefault="00D3329A" w:rsidP="00D3329A">
                  <w:pPr>
                    <w:pStyle w:val="HTMLPreformatted"/>
                    <w:numPr>
                      <w:ilvl w:val="0"/>
                      <w:numId w:val="17"/>
                    </w:numPr>
                    <w:jc w:val="both"/>
                    <w:rPr>
                      <w:rFonts w:ascii="Arial" w:hAnsi="Arial" w:cs="Arial"/>
                    </w:rPr>
                  </w:pPr>
                  <w:r w:rsidRPr="00B92975">
                    <w:rPr>
                      <w:rFonts w:ascii="Arial" w:hAnsi="Arial" w:cs="Arial"/>
                    </w:rPr>
                    <w:t>Одржување на низок профил на оперативен ризик со Ц приоритет;</w:t>
                  </w:r>
                </w:p>
                <w:p w14:paraId="43170DC6" w14:textId="77777777" w:rsidR="00D3329A" w:rsidRPr="00B92975" w:rsidRDefault="00D3329A" w:rsidP="00D3329A">
                  <w:pPr>
                    <w:pStyle w:val="HTMLPreformatted"/>
                    <w:numPr>
                      <w:ilvl w:val="0"/>
                      <w:numId w:val="17"/>
                    </w:numPr>
                    <w:jc w:val="both"/>
                    <w:rPr>
                      <w:rFonts w:ascii="Arial" w:hAnsi="Arial" w:cs="Arial"/>
                    </w:rPr>
                  </w:pPr>
                  <w:r w:rsidRPr="00B92975">
                    <w:rPr>
                      <w:rFonts w:ascii="Arial" w:hAnsi="Arial" w:cs="Arial"/>
                    </w:rPr>
                    <w:t>Имплементација на дополнителни контроли и мерки за справување со ризиците оценети со А и Б ризичен приоритет;</w:t>
                  </w:r>
                </w:p>
                <w:p w14:paraId="66784429" w14:textId="77777777" w:rsidR="00D3329A" w:rsidRPr="00B92975" w:rsidRDefault="00D3329A" w:rsidP="00D3329A">
                  <w:pPr>
                    <w:pStyle w:val="HTMLPreformatted"/>
                    <w:numPr>
                      <w:ilvl w:val="0"/>
                      <w:numId w:val="17"/>
                    </w:numPr>
                    <w:jc w:val="both"/>
                    <w:rPr>
                      <w:rFonts w:ascii="Arial" w:hAnsi="Arial" w:cs="Arial"/>
                    </w:rPr>
                  </w:pPr>
                  <w:r w:rsidRPr="00B92975">
                    <w:rPr>
                      <w:rStyle w:val="hps"/>
                      <w:rFonts w:ascii="Arial" w:hAnsi="Arial" w:cs="Arial"/>
                    </w:rPr>
                    <w:t>Активно управување со големите ризици во Банката, преку преземање на мерки за нивно намалување</w:t>
                  </w:r>
                  <w:r w:rsidRPr="00B92975">
                    <w:rPr>
                      <w:rFonts w:ascii="Arial" w:hAnsi="Arial" w:cs="Arial"/>
                    </w:rPr>
                    <w:t xml:space="preserve"> </w:t>
                  </w:r>
                </w:p>
                <w:p w14:paraId="2EDBD3EE" w14:textId="77777777" w:rsidR="00D3329A" w:rsidRPr="00B92975" w:rsidRDefault="00D3329A" w:rsidP="00D3329A">
                  <w:pPr>
                    <w:pStyle w:val="HTMLPreformatted"/>
                    <w:numPr>
                      <w:ilvl w:val="0"/>
                      <w:numId w:val="17"/>
                    </w:numPr>
                    <w:jc w:val="both"/>
                    <w:rPr>
                      <w:rFonts w:ascii="Arial" w:hAnsi="Arial" w:cs="Arial"/>
                    </w:rPr>
                  </w:pPr>
                  <w:r w:rsidRPr="00B92975">
                    <w:rPr>
                      <w:rFonts w:ascii="Arial" w:hAnsi="Arial" w:cs="Arial"/>
                    </w:rPr>
                    <w:t>Активно справување и преземање на системски мерки за потенцијалните и отворените штетни настани.</w:t>
                  </w:r>
                </w:p>
                <w:p w14:paraId="425E0EAD" w14:textId="77777777" w:rsidR="00D3329A" w:rsidRPr="00B92975" w:rsidRDefault="00D3329A" w:rsidP="00D3329A">
                  <w:pPr>
                    <w:pStyle w:val="HTMLPreformatted"/>
                    <w:jc w:val="both"/>
                    <w:rPr>
                      <w:rFonts w:ascii="Arial" w:hAnsi="Arial" w:cs="Arial"/>
                    </w:rPr>
                  </w:pPr>
                </w:p>
                <w:p w14:paraId="2D65EC0C" w14:textId="77777777" w:rsidR="00D3329A" w:rsidRPr="00B92975" w:rsidRDefault="00D3329A" w:rsidP="00D3329A">
                  <w:pPr>
                    <w:pStyle w:val="HTMLPreformatted"/>
                    <w:jc w:val="both"/>
                    <w:rPr>
                      <w:rFonts w:ascii="Arial" w:hAnsi="Arial" w:cs="Arial"/>
                      <w:sz w:val="4"/>
                      <w:szCs w:val="4"/>
                      <w:lang w:val="en-US"/>
                    </w:rPr>
                  </w:pPr>
                </w:p>
                <w:p w14:paraId="3A1D6319" w14:textId="77777777" w:rsidR="00D3329A" w:rsidRPr="00B92975" w:rsidRDefault="00D3329A" w:rsidP="00D3329A">
                  <w:pPr>
                    <w:pStyle w:val="HTMLPreformatted"/>
                    <w:jc w:val="both"/>
                    <w:rPr>
                      <w:rFonts w:ascii="Arial" w:hAnsi="Arial" w:cs="Arial"/>
                      <w:sz w:val="4"/>
                      <w:szCs w:val="4"/>
                    </w:rPr>
                  </w:pPr>
                </w:p>
                <w:p w14:paraId="146F8EA6" w14:textId="77777777" w:rsidR="00D3329A" w:rsidRPr="00B92975" w:rsidRDefault="00D3329A" w:rsidP="00D3329A">
                  <w:pPr>
                    <w:tabs>
                      <w:tab w:val="left" w:pos="4253"/>
                    </w:tabs>
                    <w:autoSpaceDE w:val="0"/>
                    <w:autoSpaceDN w:val="0"/>
                    <w:adjustRightInd w:val="0"/>
                    <w:jc w:val="both"/>
                    <w:rPr>
                      <w:rFonts w:cs="Arial"/>
                      <w:lang w:val="mk-MK"/>
                    </w:rPr>
                  </w:pPr>
                  <w:r w:rsidRPr="00B92975">
                    <w:rPr>
                      <w:rFonts w:cs="Arial"/>
                    </w:rPr>
                    <w:lastRenderedPageBreak/>
                    <w:t xml:space="preserve">Банката врши редовна процена на </w:t>
                  </w:r>
                  <w:r w:rsidRPr="00B92975">
                    <w:rPr>
                      <w:rFonts w:cs="Arial"/>
                      <w:lang w:val="mk-MK"/>
                    </w:rPr>
                    <w:t xml:space="preserve">останатите </w:t>
                  </w:r>
                  <w:r w:rsidRPr="00B92975">
                    <w:rPr>
                      <w:rFonts w:cs="Arial"/>
                    </w:rPr>
                    <w:t>ризици во рамките на ICAAP процесот каде се дефинираат, следат и евалуираат овие релевантни ризици.</w:t>
                  </w:r>
                  <w:r w:rsidRPr="00B92975">
                    <w:rPr>
                      <w:rFonts w:cs="Arial"/>
                      <w:lang w:val="mk-MK"/>
                    </w:rPr>
                    <w:t xml:space="preserve"> Толеранцијата за </w:t>
                  </w:r>
                  <w:r w:rsidRPr="00B92975">
                    <w:rPr>
                      <w:rFonts w:cs="Arial"/>
                      <w:b/>
                      <w:lang w:val="mk-MK"/>
                    </w:rPr>
                    <w:t>сите други видови ризици</w:t>
                  </w:r>
                  <w:r w:rsidRPr="00B92975">
                    <w:rPr>
                      <w:rFonts w:cs="Arial"/>
                      <w:lang w:val="mk-MK"/>
                    </w:rPr>
                    <w:t xml:space="preserve"> (на пример, деловен ризик, ризик за профитабилност и политички ризик) е умерена, со фокус на минимизирање на нивните можни влијанија врз работењето на Банката.</w:t>
                  </w:r>
                  <w:r w:rsidRPr="00B92975">
                    <w:rPr>
                      <w:rFonts w:cs="Arial"/>
                    </w:rPr>
                    <w:t xml:space="preserve">  Следењето, мерењето и управувањето со некредитни ризици (правен ризик, репутациски ризик, стратегиски ризик, ризик од инвестиции во хартии од вредност и други видови на некредитни ризици) </w:t>
                  </w:r>
                  <w:r w:rsidRPr="00B92975">
                    <w:rPr>
                      <w:rFonts w:cs="Arial"/>
                      <w:lang w:val="mk-MK"/>
                    </w:rPr>
                    <w:t xml:space="preserve">се </w:t>
                  </w:r>
                  <w:r w:rsidRPr="00B92975">
                    <w:rPr>
                      <w:rFonts w:cs="Arial"/>
                    </w:rPr>
                    <w:t>унапред</w:t>
                  </w:r>
                  <w:r w:rsidRPr="00B92975">
                    <w:rPr>
                      <w:rFonts w:cs="Arial"/>
                      <w:lang w:val="mk-MK"/>
                    </w:rPr>
                    <w:t>ува</w:t>
                  </w:r>
                  <w:r w:rsidRPr="00B92975">
                    <w:rPr>
                      <w:rFonts w:cs="Arial"/>
                    </w:rPr>
                    <w:t xml:space="preserve"> преку заедничките активности на ниво на НЛБ Групацијата и целосна имплементација на стандардите на ниво на НЛБ Групацијата. Банката годишно ги ревидира некредитните ризици и ја проценува нивната важност за Банката. Согласно проценката Банката врши следење и мерење на материјално значајните ризици. Овие активн</w:t>
                  </w:r>
                  <w:r w:rsidRPr="00B92975">
                    <w:rPr>
                      <w:rFonts w:cs="Arial"/>
                      <w:lang w:val="mk-MK"/>
                    </w:rPr>
                    <w:t>о</w:t>
                  </w:r>
                  <w:r w:rsidRPr="00B92975">
                    <w:rPr>
                      <w:rFonts w:cs="Arial"/>
                    </w:rPr>
                    <w:t xml:space="preserve">сти на Банката и овозможуваат повисоко ниво на наплата на своите пласмани, заштита од непредвидливи настани и можни закани за неуспех во реализирањето на планираната политика. </w:t>
                  </w:r>
                </w:p>
                <w:p w14:paraId="16C0449C" w14:textId="77777777" w:rsidR="00D3329A" w:rsidRPr="00B92975" w:rsidRDefault="00D3329A" w:rsidP="00D3329A">
                  <w:pPr>
                    <w:autoSpaceDE w:val="0"/>
                    <w:autoSpaceDN w:val="0"/>
                    <w:adjustRightInd w:val="0"/>
                    <w:jc w:val="both"/>
                    <w:rPr>
                      <w:rFonts w:cs="Arial"/>
                      <w:lang w:val="mk-MK"/>
                    </w:rPr>
                  </w:pPr>
                </w:p>
                <w:p w14:paraId="6914C107" w14:textId="77777777" w:rsidR="00D3329A" w:rsidRPr="00B92975" w:rsidRDefault="00D3329A" w:rsidP="00D3329A">
                  <w:pPr>
                    <w:autoSpaceDE w:val="0"/>
                    <w:autoSpaceDN w:val="0"/>
                    <w:adjustRightInd w:val="0"/>
                    <w:jc w:val="both"/>
                    <w:rPr>
                      <w:rFonts w:cs="Arial"/>
                      <w:lang w:val="mk-MK"/>
                    </w:rPr>
                  </w:pPr>
                  <w:r w:rsidRPr="00B92975">
                    <w:rPr>
                      <w:rFonts w:cs="Arial"/>
                    </w:rPr>
                    <w:t>Спроведувањето на Стратегијата за управување со ризиците се врши преку:</w:t>
                  </w:r>
                </w:p>
                <w:p w14:paraId="5C3E17C3" w14:textId="77777777" w:rsidR="00D3329A" w:rsidRPr="00B92975" w:rsidRDefault="00D3329A" w:rsidP="00D3329A">
                  <w:pPr>
                    <w:numPr>
                      <w:ilvl w:val="0"/>
                      <w:numId w:val="10"/>
                    </w:numPr>
                    <w:tabs>
                      <w:tab w:val="clear" w:pos="1440"/>
                      <w:tab w:val="num" w:pos="718"/>
                    </w:tabs>
                    <w:autoSpaceDE w:val="0"/>
                    <w:autoSpaceDN w:val="0"/>
                    <w:adjustRightInd w:val="0"/>
                    <w:ind w:hanging="1006"/>
                    <w:jc w:val="both"/>
                    <w:rPr>
                      <w:rFonts w:cs="Arial"/>
                    </w:rPr>
                  </w:pPr>
                  <w:r w:rsidRPr="00B92975">
                    <w:rPr>
                      <w:rFonts w:cs="Arial"/>
                    </w:rPr>
                    <w:t>дефинирање на систем за управување со ризиците;</w:t>
                  </w:r>
                </w:p>
                <w:p w14:paraId="55227519" w14:textId="77777777" w:rsidR="00D3329A" w:rsidRPr="00B92975" w:rsidRDefault="00D3329A" w:rsidP="00D3329A">
                  <w:pPr>
                    <w:numPr>
                      <w:ilvl w:val="0"/>
                      <w:numId w:val="10"/>
                    </w:numPr>
                    <w:tabs>
                      <w:tab w:val="clear" w:pos="1440"/>
                      <w:tab w:val="num" w:pos="718"/>
                    </w:tabs>
                    <w:autoSpaceDE w:val="0"/>
                    <w:autoSpaceDN w:val="0"/>
                    <w:adjustRightInd w:val="0"/>
                    <w:ind w:hanging="1006"/>
                    <w:jc w:val="both"/>
                    <w:rPr>
                      <w:rFonts w:cs="Arial"/>
                    </w:rPr>
                  </w:pPr>
                  <w:r w:rsidRPr="00B92975">
                    <w:rPr>
                      <w:rFonts w:cs="Arial"/>
                    </w:rPr>
                    <w:t>дефинирање на поодделните видови на ризици;</w:t>
                  </w:r>
                </w:p>
                <w:p w14:paraId="25F31115" w14:textId="77777777" w:rsidR="00D3329A" w:rsidRPr="00B92975" w:rsidRDefault="00D3329A" w:rsidP="00D3329A">
                  <w:pPr>
                    <w:numPr>
                      <w:ilvl w:val="0"/>
                      <w:numId w:val="10"/>
                    </w:numPr>
                    <w:tabs>
                      <w:tab w:val="clear" w:pos="1440"/>
                      <w:tab w:val="num" w:pos="718"/>
                    </w:tabs>
                    <w:autoSpaceDE w:val="0"/>
                    <w:autoSpaceDN w:val="0"/>
                    <w:adjustRightInd w:val="0"/>
                    <w:ind w:hanging="1006"/>
                    <w:jc w:val="both"/>
                    <w:rPr>
                      <w:rFonts w:cs="Arial"/>
                    </w:rPr>
                  </w:pPr>
                  <w:r w:rsidRPr="00B92975">
                    <w:rPr>
                      <w:rFonts w:cs="Arial"/>
                    </w:rPr>
                    <w:t>изготвување на политики и процедури за управување со ризиците.</w:t>
                  </w:r>
                </w:p>
                <w:p w14:paraId="78E313AA" w14:textId="77777777" w:rsidR="00D3329A" w:rsidRPr="00B92975" w:rsidRDefault="00D3329A" w:rsidP="00D3329A">
                  <w:pPr>
                    <w:autoSpaceDE w:val="0"/>
                    <w:autoSpaceDN w:val="0"/>
                    <w:adjustRightInd w:val="0"/>
                    <w:ind w:left="1440"/>
                    <w:jc w:val="both"/>
                    <w:rPr>
                      <w:rFonts w:cs="Arial"/>
                    </w:rPr>
                  </w:pPr>
                </w:p>
                <w:p w14:paraId="3A765413" w14:textId="77777777" w:rsidR="00D3329A" w:rsidRPr="00B92975" w:rsidRDefault="00D3329A" w:rsidP="00D3329A">
                  <w:pPr>
                    <w:autoSpaceDE w:val="0"/>
                    <w:autoSpaceDN w:val="0"/>
                    <w:adjustRightInd w:val="0"/>
                    <w:jc w:val="both"/>
                    <w:rPr>
                      <w:rFonts w:cs="Arial"/>
                      <w:lang w:val="mk-MK"/>
                    </w:rPr>
                  </w:pPr>
                  <w:r w:rsidRPr="00B92975">
                    <w:rPr>
                      <w:rFonts w:cs="Arial"/>
                    </w:rPr>
                    <w:t>За спроведување на Стратегијата за управување со ризиците, Банката:</w:t>
                  </w:r>
                </w:p>
                <w:p w14:paraId="6884255B" w14:textId="77777777" w:rsidR="00D3329A" w:rsidRPr="00B92975" w:rsidRDefault="00D3329A" w:rsidP="00D3329A">
                  <w:pPr>
                    <w:numPr>
                      <w:ilvl w:val="0"/>
                      <w:numId w:val="11"/>
                    </w:numPr>
                    <w:tabs>
                      <w:tab w:val="clear" w:pos="1440"/>
                      <w:tab w:val="num" w:pos="718"/>
                    </w:tabs>
                    <w:autoSpaceDE w:val="0"/>
                    <w:autoSpaceDN w:val="0"/>
                    <w:adjustRightInd w:val="0"/>
                    <w:ind w:left="718" w:hanging="284"/>
                    <w:jc w:val="both"/>
                    <w:rPr>
                      <w:rFonts w:cs="Arial"/>
                    </w:rPr>
                  </w:pPr>
                  <w:r w:rsidRPr="00B92975">
                    <w:rPr>
                      <w:rFonts w:cs="Arial"/>
                    </w:rPr>
                    <w:t>воспоставува правила за управување со ризиците;</w:t>
                  </w:r>
                </w:p>
                <w:p w14:paraId="309A06B3" w14:textId="77777777" w:rsidR="00D3329A" w:rsidRPr="00B92975" w:rsidRDefault="00D3329A" w:rsidP="00D3329A">
                  <w:pPr>
                    <w:numPr>
                      <w:ilvl w:val="0"/>
                      <w:numId w:val="11"/>
                    </w:numPr>
                    <w:tabs>
                      <w:tab w:val="clear" w:pos="1440"/>
                      <w:tab w:val="num" w:pos="718"/>
                    </w:tabs>
                    <w:autoSpaceDE w:val="0"/>
                    <w:autoSpaceDN w:val="0"/>
                    <w:adjustRightInd w:val="0"/>
                    <w:ind w:left="718" w:hanging="284"/>
                    <w:jc w:val="both"/>
                    <w:rPr>
                      <w:rFonts w:cs="Arial"/>
                    </w:rPr>
                  </w:pPr>
                  <w:r w:rsidRPr="00B92975">
                    <w:rPr>
                      <w:rFonts w:cs="Arial"/>
                    </w:rPr>
                    <w:t>воспоставува соодветна организациска структура со јасно дефинирани надлежности и одговорности при преземањето и управувањето со ризиците;</w:t>
                  </w:r>
                </w:p>
                <w:p w14:paraId="1FFFD76C" w14:textId="77777777" w:rsidR="00D3329A" w:rsidRPr="00B92975" w:rsidRDefault="00D3329A" w:rsidP="00D3329A">
                  <w:pPr>
                    <w:numPr>
                      <w:ilvl w:val="0"/>
                      <w:numId w:val="11"/>
                    </w:numPr>
                    <w:tabs>
                      <w:tab w:val="clear" w:pos="1440"/>
                      <w:tab w:val="num" w:pos="718"/>
                    </w:tabs>
                    <w:autoSpaceDE w:val="0"/>
                    <w:autoSpaceDN w:val="0"/>
                    <w:adjustRightInd w:val="0"/>
                    <w:ind w:left="718" w:hanging="284"/>
                    <w:jc w:val="both"/>
                    <w:rPr>
                      <w:rFonts w:cs="Arial"/>
                    </w:rPr>
                  </w:pPr>
                  <w:r w:rsidRPr="00B92975">
                    <w:rPr>
                      <w:rFonts w:cs="Arial"/>
                    </w:rPr>
                    <w:t>воспоставува ефикасен информативен систем;</w:t>
                  </w:r>
                </w:p>
                <w:p w14:paraId="34F80E45" w14:textId="77777777" w:rsidR="00D3329A" w:rsidRPr="00B92975" w:rsidRDefault="00D3329A" w:rsidP="00D3329A">
                  <w:pPr>
                    <w:numPr>
                      <w:ilvl w:val="0"/>
                      <w:numId w:val="11"/>
                    </w:numPr>
                    <w:tabs>
                      <w:tab w:val="clear" w:pos="1440"/>
                      <w:tab w:val="num" w:pos="718"/>
                    </w:tabs>
                    <w:autoSpaceDE w:val="0"/>
                    <w:autoSpaceDN w:val="0"/>
                    <w:adjustRightInd w:val="0"/>
                    <w:ind w:left="718" w:hanging="284"/>
                    <w:jc w:val="both"/>
                    <w:rPr>
                      <w:rFonts w:cs="Arial"/>
                    </w:rPr>
                  </w:pPr>
                  <w:r w:rsidRPr="00B92975">
                    <w:rPr>
                      <w:rFonts w:cs="Arial"/>
                    </w:rPr>
                    <w:t>воспоставува механизам кој обезбедува можност за редовно ревидирање на системите, политиките и процедурите за управување со ризиците;</w:t>
                  </w:r>
                </w:p>
                <w:p w14:paraId="2B484436" w14:textId="77777777" w:rsidR="00D3329A" w:rsidRPr="00B92975" w:rsidRDefault="00D3329A" w:rsidP="00D3329A">
                  <w:pPr>
                    <w:numPr>
                      <w:ilvl w:val="0"/>
                      <w:numId w:val="11"/>
                    </w:numPr>
                    <w:tabs>
                      <w:tab w:val="clear" w:pos="1440"/>
                      <w:tab w:val="num" w:pos="718"/>
                    </w:tabs>
                    <w:autoSpaceDE w:val="0"/>
                    <w:autoSpaceDN w:val="0"/>
                    <w:adjustRightInd w:val="0"/>
                    <w:ind w:left="718" w:hanging="284"/>
                    <w:jc w:val="both"/>
                    <w:rPr>
                      <w:rFonts w:cs="Arial"/>
                    </w:rPr>
                  </w:pPr>
                  <w:r w:rsidRPr="00B92975">
                    <w:rPr>
                      <w:rFonts w:cs="Arial"/>
                    </w:rPr>
                    <w:t>воспоставува соодветен систем на внатрешна контрола и соодветност на внатрешната ревизија.</w:t>
                  </w:r>
                </w:p>
                <w:p w14:paraId="0E6D889D" w14:textId="77777777" w:rsidR="00D3329A" w:rsidRPr="00B92975" w:rsidRDefault="00D3329A" w:rsidP="00D3329A">
                  <w:pPr>
                    <w:autoSpaceDE w:val="0"/>
                    <w:autoSpaceDN w:val="0"/>
                    <w:adjustRightInd w:val="0"/>
                    <w:ind w:left="1440"/>
                    <w:jc w:val="both"/>
                    <w:rPr>
                      <w:rFonts w:cs="Arial"/>
                    </w:rPr>
                  </w:pPr>
                </w:p>
                <w:p w14:paraId="1B1E9CF8" w14:textId="77777777" w:rsidR="00D3329A" w:rsidRPr="00B92975" w:rsidRDefault="00D3329A" w:rsidP="00D3329A">
                  <w:pPr>
                    <w:autoSpaceDE w:val="0"/>
                    <w:autoSpaceDN w:val="0"/>
                    <w:adjustRightInd w:val="0"/>
                    <w:jc w:val="both"/>
                    <w:rPr>
                      <w:rFonts w:cs="Arial"/>
                      <w:lang w:val="mk-MK"/>
                    </w:rPr>
                  </w:pPr>
                  <w:r w:rsidRPr="00B92975">
                    <w:rPr>
                      <w:rFonts w:cs="Arial"/>
                    </w:rPr>
                    <w:t>Системот за управување со ризици во Банката го опфаќа управувањето со:</w:t>
                  </w:r>
                </w:p>
                <w:p w14:paraId="007896D6"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кредитен ризик, вклучувајќи го и ризикот на земјата;</w:t>
                  </w:r>
                </w:p>
                <w:p w14:paraId="2D3F40D2"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ликвидносен ризик;</w:t>
                  </w:r>
                </w:p>
                <w:p w14:paraId="6EA69127"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валутен ризик;</w:t>
                  </w:r>
                </w:p>
                <w:p w14:paraId="071B7AD9"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пазарен ризик;</w:t>
                  </w:r>
                </w:p>
                <w:p w14:paraId="44448177"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ризик од промена на каматните стапки;</w:t>
                  </w:r>
                </w:p>
                <w:p w14:paraId="132799A2"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ризик од концентрација на изложеноста на банката;</w:t>
                  </w:r>
                </w:p>
                <w:p w14:paraId="713DA8CD"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оперативен ризик, вклучувајќи го и правниот ризик.</w:t>
                  </w:r>
                </w:p>
                <w:p w14:paraId="6581AF37" w14:textId="77777777" w:rsidR="00D3329A" w:rsidRPr="00B92975" w:rsidRDefault="00D3329A" w:rsidP="00D3329A">
                  <w:pPr>
                    <w:numPr>
                      <w:ilvl w:val="0"/>
                      <w:numId w:val="12"/>
                    </w:numPr>
                    <w:tabs>
                      <w:tab w:val="clear" w:pos="1440"/>
                      <w:tab w:val="num" w:pos="718"/>
                    </w:tabs>
                    <w:autoSpaceDE w:val="0"/>
                    <w:autoSpaceDN w:val="0"/>
                    <w:adjustRightInd w:val="0"/>
                    <w:ind w:left="718" w:hanging="284"/>
                    <w:jc w:val="both"/>
                    <w:rPr>
                      <w:rFonts w:cs="Arial"/>
                    </w:rPr>
                  </w:pPr>
                  <w:r w:rsidRPr="00B92975">
                    <w:rPr>
                      <w:rFonts w:cs="Arial"/>
                    </w:rPr>
                    <w:t>и други материјални ризици на кои е изложена банката во своето работење (репутациски, стратегиски</w:t>
                  </w:r>
                  <w:r w:rsidRPr="00B92975">
                    <w:rPr>
                      <w:rFonts w:cs="Arial"/>
                      <w:lang w:val="mk-MK"/>
                    </w:rPr>
                    <w:t xml:space="preserve"> </w:t>
                  </w:r>
                  <w:r w:rsidRPr="00B92975">
                    <w:rPr>
                      <w:rFonts w:cs="Arial"/>
                    </w:rPr>
                    <w:t>ризик</w:t>
                  </w:r>
                  <w:r w:rsidRPr="00B92975">
                    <w:rPr>
                      <w:rFonts w:cs="Arial"/>
                      <w:lang w:val="mk-MK"/>
                    </w:rPr>
                    <w:t>, ризик на профитабилноста, ризик на капиталот</w:t>
                  </w:r>
                  <w:r w:rsidRPr="00B92975">
                    <w:rPr>
                      <w:rFonts w:cs="Arial"/>
                    </w:rPr>
                    <w:t xml:space="preserve"> и други видови на ризици)</w:t>
                  </w:r>
                  <w:r w:rsidRPr="00B92975">
                    <w:rPr>
                      <w:rFonts w:cs="Arial"/>
                      <w:lang w:val="mk-MK"/>
                    </w:rPr>
                    <w:t>.</w:t>
                  </w:r>
                </w:p>
                <w:p w14:paraId="3B2BBCCE" w14:textId="77777777" w:rsidR="00D3329A" w:rsidRPr="00B92975" w:rsidRDefault="00D3329A" w:rsidP="00D3329A">
                  <w:pPr>
                    <w:autoSpaceDE w:val="0"/>
                    <w:autoSpaceDN w:val="0"/>
                    <w:adjustRightInd w:val="0"/>
                    <w:jc w:val="both"/>
                    <w:rPr>
                      <w:rFonts w:cs="Arial"/>
                      <w:lang w:val="mk-MK"/>
                    </w:rPr>
                  </w:pPr>
                </w:p>
                <w:p w14:paraId="17F6ECED" w14:textId="77777777" w:rsidR="00D3329A" w:rsidRPr="00B92975" w:rsidRDefault="00D3329A" w:rsidP="00D3329A">
                  <w:pPr>
                    <w:autoSpaceDE w:val="0"/>
                    <w:autoSpaceDN w:val="0"/>
                    <w:adjustRightInd w:val="0"/>
                    <w:jc w:val="both"/>
                    <w:rPr>
                      <w:rFonts w:cs="Arial"/>
                      <w:lang w:val="mk-MK"/>
                    </w:rPr>
                  </w:pPr>
                  <w:r w:rsidRPr="00B92975">
                    <w:rPr>
                      <w:rFonts w:cs="Arial"/>
                    </w:rPr>
                    <w:t xml:space="preserve">Банката </w:t>
                  </w:r>
                  <w:r w:rsidRPr="00B92975">
                    <w:rPr>
                      <w:rFonts w:cs="Arial"/>
                      <w:lang w:val="mk-MK"/>
                    </w:rPr>
                    <w:t>има</w:t>
                  </w:r>
                  <w:r w:rsidRPr="00B92975">
                    <w:rPr>
                      <w:rFonts w:cs="Arial"/>
                    </w:rPr>
                    <w:t xml:space="preserve"> изготв</w:t>
                  </w:r>
                  <w:r w:rsidRPr="00B92975">
                    <w:rPr>
                      <w:rFonts w:cs="Arial"/>
                      <w:lang w:val="mk-MK"/>
                    </w:rPr>
                    <w:t>ено</w:t>
                  </w:r>
                  <w:r w:rsidRPr="00B92975">
                    <w:rPr>
                      <w:rFonts w:cs="Arial"/>
                    </w:rPr>
                    <w:t xml:space="preserve"> пооделн</w:t>
                  </w:r>
                  <w:r w:rsidRPr="00B92975">
                    <w:rPr>
                      <w:rFonts w:cs="Arial"/>
                      <w:lang w:val="mk-MK"/>
                    </w:rPr>
                    <w:t>и</w:t>
                  </w:r>
                  <w:r w:rsidRPr="00B92975">
                    <w:rPr>
                      <w:rFonts w:cs="Arial"/>
                    </w:rPr>
                    <w:t xml:space="preserve"> политик</w:t>
                  </w:r>
                  <w:r w:rsidRPr="00B92975">
                    <w:rPr>
                      <w:rFonts w:cs="Arial"/>
                      <w:lang w:val="mk-MK"/>
                    </w:rPr>
                    <w:t>и</w:t>
                  </w:r>
                  <w:r w:rsidRPr="00B92975">
                    <w:rPr>
                      <w:rFonts w:cs="Arial"/>
                    </w:rPr>
                    <w:t xml:space="preserve"> за управување со конкретниот вид на ризик. Поодделните политики за управување со ризици содржат:</w:t>
                  </w:r>
                </w:p>
                <w:p w14:paraId="76EBFB83" w14:textId="77777777" w:rsidR="00D3329A" w:rsidRPr="00B92975" w:rsidRDefault="00D3329A" w:rsidP="00D3329A">
                  <w:pPr>
                    <w:numPr>
                      <w:ilvl w:val="3"/>
                      <w:numId w:val="20"/>
                    </w:numPr>
                    <w:tabs>
                      <w:tab w:val="clear" w:pos="2880"/>
                    </w:tabs>
                    <w:autoSpaceDE w:val="0"/>
                    <w:autoSpaceDN w:val="0"/>
                    <w:adjustRightInd w:val="0"/>
                    <w:spacing w:before="120"/>
                    <w:ind w:left="714" w:hanging="357"/>
                    <w:jc w:val="both"/>
                    <w:rPr>
                      <w:rFonts w:cs="Arial"/>
                      <w:lang w:val="mk-MK"/>
                    </w:rPr>
                  </w:pPr>
                  <w:r w:rsidRPr="00B92975">
                    <w:rPr>
                      <w:rFonts w:cs="Arial"/>
                      <w:lang w:val="mk-MK"/>
                    </w:rPr>
                    <w:t xml:space="preserve">оценка на капацитетот на Банката за преземање одделни ризици, </w:t>
                  </w:r>
                </w:p>
                <w:p w14:paraId="561CD25D" w14:textId="77777777" w:rsidR="00D3329A" w:rsidRPr="00B92975" w:rsidRDefault="00D3329A" w:rsidP="00D3329A">
                  <w:pPr>
                    <w:numPr>
                      <w:ilvl w:val="3"/>
                      <w:numId w:val="20"/>
                    </w:numPr>
                    <w:tabs>
                      <w:tab w:val="clear" w:pos="2880"/>
                    </w:tabs>
                    <w:autoSpaceDE w:val="0"/>
                    <w:autoSpaceDN w:val="0"/>
                    <w:adjustRightInd w:val="0"/>
                    <w:ind w:left="720"/>
                    <w:jc w:val="both"/>
                    <w:rPr>
                      <w:rFonts w:cs="Arial"/>
                      <w:lang w:val="mk-MK"/>
                    </w:rPr>
                  </w:pPr>
                  <w:r w:rsidRPr="00B92975">
                    <w:rPr>
                      <w:rFonts w:cs="Arial"/>
                      <w:lang w:val="mk-MK"/>
                    </w:rPr>
                    <w:t xml:space="preserve">оценка на нејзиниот профил на ризичност, </w:t>
                  </w:r>
                </w:p>
                <w:p w14:paraId="2ABF2AB4" w14:textId="77777777" w:rsidR="00D3329A" w:rsidRPr="00B92975" w:rsidRDefault="00D3329A" w:rsidP="00D3329A">
                  <w:pPr>
                    <w:numPr>
                      <w:ilvl w:val="3"/>
                      <w:numId w:val="20"/>
                    </w:numPr>
                    <w:tabs>
                      <w:tab w:val="clear" w:pos="2880"/>
                    </w:tabs>
                    <w:autoSpaceDE w:val="0"/>
                    <w:autoSpaceDN w:val="0"/>
                    <w:adjustRightInd w:val="0"/>
                    <w:ind w:left="720"/>
                    <w:jc w:val="both"/>
                    <w:rPr>
                      <w:rFonts w:cs="Arial"/>
                      <w:lang w:val="mk-MK"/>
                    </w:rPr>
                  </w:pPr>
                  <w:r w:rsidRPr="00B92975">
                    <w:rPr>
                      <w:rFonts w:cs="Arial"/>
                      <w:lang w:val="mk-MK"/>
                    </w:rPr>
                    <w:t>организациска поставеност на функцијата за управување со ризиците,</w:t>
                  </w:r>
                </w:p>
                <w:p w14:paraId="02D60AF8" w14:textId="77777777" w:rsidR="00D3329A" w:rsidRPr="00B92975" w:rsidRDefault="00D3329A" w:rsidP="00D3329A">
                  <w:pPr>
                    <w:numPr>
                      <w:ilvl w:val="3"/>
                      <w:numId w:val="20"/>
                    </w:numPr>
                    <w:tabs>
                      <w:tab w:val="clear" w:pos="2880"/>
                    </w:tabs>
                    <w:autoSpaceDE w:val="0"/>
                    <w:autoSpaceDN w:val="0"/>
                    <w:adjustRightInd w:val="0"/>
                    <w:ind w:left="720"/>
                    <w:jc w:val="both"/>
                    <w:rPr>
                      <w:rFonts w:cs="Arial"/>
                      <w:lang w:val="mk-MK"/>
                    </w:rPr>
                  </w:pPr>
                  <w:r w:rsidRPr="00B92975">
                    <w:rPr>
                      <w:rFonts w:cs="Arial"/>
                      <w:lang w:val="mk-MK"/>
                    </w:rPr>
                    <w:t xml:space="preserve">основни елементи на управувањето со ризиците, </w:t>
                  </w:r>
                </w:p>
                <w:p w14:paraId="686F7BD2" w14:textId="77777777" w:rsidR="00D3329A" w:rsidRPr="00B92975" w:rsidRDefault="00D3329A" w:rsidP="00D3329A">
                  <w:pPr>
                    <w:numPr>
                      <w:ilvl w:val="3"/>
                      <w:numId w:val="20"/>
                    </w:numPr>
                    <w:tabs>
                      <w:tab w:val="clear" w:pos="2880"/>
                    </w:tabs>
                    <w:autoSpaceDE w:val="0"/>
                    <w:autoSpaceDN w:val="0"/>
                    <w:adjustRightInd w:val="0"/>
                    <w:ind w:left="720"/>
                    <w:jc w:val="both"/>
                    <w:rPr>
                      <w:rFonts w:cs="Arial"/>
                      <w:lang w:val="mk-MK"/>
                    </w:rPr>
                  </w:pPr>
                  <w:r w:rsidRPr="00B92975">
                    <w:rPr>
                      <w:rFonts w:cs="Arial"/>
                      <w:lang w:val="mk-MK"/>
                    </w:rPr>
                    <w:t>прифатливи инструменти за заштита од или намалување на ризиците,</w:t>
                  </w:r>
                </w:p>
                <w:p w14:paraId="17EE1C2F" w14:textId="77777777" w:rsidR="00D3329A" w:rsidRPr="00B92975" w:rsidRDefault="00D3329A" w:rsidP="00D3329A">
                  <w:pPr>
                    <w:numPr>
                      <w:ilvl w:val="3"/>
                      <w:numId w:val="20"/>
                    </w:numPr>
                    <w:tabs>
                      <w:tab w:val="clear" w:pos="2880"/>
                    </w:tabs>
                    <w:autoSpaceDE w:val="0"/>
                    <w:autoSpaceDN w:val="0"/>
                    <w:adjustRightInd w:val="0"/>
                    <w:ind w:left="720"/>
                    <w:jc w:val="both"/>
                    <w:rPr>
                      <w:rFonts w:cs="Arial"/>
                      <w:lang w:val="mk-MK"/>
                    </w:rPr>
                  </w:pPr>
                  <w:r w:rsidRPr="00B92975">
                    <w:rPr>
                      <w:rFonts w:cs="Arial"/>
                      <w:lang w:val="mk-MK"/>
                    </w:rPr>
                    <w:t xml:space="preserve">внатрешната контрола и основни елементи на процесот на интерно утврдување и </w:t>
                  </w:r>
                </w:p>
                <w:p w14:paraId="24BBE8FA" w14:textId="77777777" w:rsidR="00D3329A" w:rsidRPr="00B92975" w:rsidRDefault="00D3329A" w:rsidP="00D3329A">
                  <w:pPr>
                    <w:numPr>
                      <w:ilvl w:val="3"/>
                      <w:numId w:val="20"/>
                    </w:numPr>
                    <w:tabs>
                      <w:tab w:val="clear" w:pos="2880"/>
                    </w:tabs>
                    <w:autoSpaceDE w:val="0"/>
                    <w:autoSpaceDN w:val="0"/>
                    <w:adjustRightInd w:val="0"/>
                    <w:ind w:left="720"/>
                    <w:jc w:val="both"/>
                    <w:rPr>
                      <w:rFonts w:cs="Arial"/>
                      <w:lang w:val="mk-MK"/>
                    </w:rPr>
                  </w:pPr>
                  <w:r w:rsidRPr="00B92975">
                    <w:rPr>
                      <w:rFonts w:cs="Arial"/>
                      <w:lang w:val="mk-MK"/>
                    </w:rPr>
                    <w:t>оценка на потребната адекватност на капиталот на Банката.</w:t>
                  </w:r>
                </w:p>
                <w:p w14:paraId="57E5979C" w14:textId="77777777" w:rsidR="00D3329A" w:rsidRPr="00B92975" w:rsidRDefault="00D3329A" w:rsidP="00D3329A">
                  <w:pPr>
                    <w:autoSpaceDE w:val="0"/>
                    <w:autoSpaceDN w:val="0"/>
                    <w:adjustRightInd w:val="0"/>
                    <w:ind w:left="720"/>
                    <w:jc w:val="both"/>
                    <w:rPr>
                      <w:rFonts w:cs="Arial"/>
                      <w:lang w:val="mk-MK"/>
                    </w:rPr>
                  </w:pPr>
                </w:p>
                <w:p w14:paraId="1DF61EE1" w14:textId="77777777" w:rsidR="00D3329A" w:rsidRPr="00B92975" w:rsidRDefault="00D3329A" w:rsidP="00D3329A">
                  <w:pPr>
                    <w:autoSpaceDE w:val="0"/>
                    <w:autoSpaceDN w:val="0"/>
                    <w:adjustRightInd w:val="0"/>
                    <w:jc w:val="both"/>
                    <w:rPr>
                      <w:rFonts w:cs="Arial"/>
                      <w:lang w:val="mk-MK"/>
                    </w:rPr>
                  </w:pPr>
                  <w:r w:rsidRPr="00B92975">
                    <w:rPr>
                      <w:rFonts w:cs="Arial"/>
                    </w:rPr>
                    <w:t>Составен дел на секоја Политика се и соодветните процедури кои</w:t>
                  </w:r>
                  <w:r w:rsidRPr="00B92975">
                    <w:rPr>
                      <w:rFonts w:cs="Arial"/>
                      <w:lang w:val="mk-MK"/>
                    </w:rPr>
                    <w:t xml:space="preserve"> треба</w:t>
                  </w:r>
                  <w:r w:rsidRPr="00B92975">
                    <w:rPr>
                      <w:rFonts w:cs="Arial"/>
                    </w:rPr>
                    <w:t>:</w:t>
                  </w:r>
                </w:p>
                <w:p w14:paraId="060B641A" w14:textId="77777777" w:rsidR="00D3329A" w:rsidRPr="00B92975" w:rsidRDefault="00D3329A" w:rsidP="00D3329A">
                  <w:pPr>
                    <w:numPr>
                      <w:ilvl w:val="0"/>
                      <w:numId w:val="22"/>
                    </w:numPr>
                    <w:autoSpaceDE w:val="0"/>
                    <w:autoSpaceDN w:val="0"/>
                    <w:adjustRightInd w:val="0"/>
                    <w:spacing w:before="120"/>
                    <w:ind w:left="714" w:hanging="357"/>
                    <w:jc w:val="both"/>
                    <w:rPr>
                      <w:rFonts w:cs="Arial"/>
                      <w:lang w:val="mk-MK"/>
                    </w:rPr>
                  </w:pPr>
                  <w:r w:rsidRPr="00B92975">
                    <w:rPr>
                      <w:rFonts w:cs="Arial"/>
                      <w:lang w:val="mk-MK"/>
                    </w:rPr>
                    <w:t>да овозможат навремено и сеопфатно идентификување на ризиците;</w:t>
                  </w:r>
                </w:p>
                <w:p w14:paraId="7E0BDC0F" w14:textId="77777777" w:rsidR="00D3329A" w:rsidRPr="00B92975" w:rsidRDefault="00D3329A" w:rsidP="00D3329A">
                  <w:pPr>
                    <w:numPr>
                      <w:ilvl w:val="0"/>
                      <w:numId w:val="22"/>
                    </w:numPr>
                    <w:autoSpaceDE w:val="0"/>
                    <w:autoSpaceDN w:val="0"/>
                    <w:adjustRightInd w:val="0"/>
                    <w:jc w:val="both"/>
                    <w:rPr>
                      <w:rFonts w:cs="Arial"/>
                      <w:lang w:val="mk-MK"/>
                    </w:rPr>
                  </w:pPr>
                  <w:r w:rsidRPr="00B92975">
                    <w:rPr>
                      <w:rFonts w:cs="Arial"/>
                      <w:lang w:val="mk-MK"/>
                    </w:rPr>
                    <w:t>да се засноваат врз квантитативни и/или квалитативни оценки за мерливите и немерливите ризици;</w:t>
                  </w:r>
                </w:p>
                <w:p w14:paraId="28062882" w14:textId="77777777" w:rsidR="00D3329A" w:rsidRPr="00B92975" w:rsidRDefault="00D3329A" w:rsidP="00D3329A">
                  <w:pPr>
                    <w:numPr>
                      <w:ilvl w:val="0"/>
                      <w:numId w:val="21"/>
                    </w:numPr>
                    <w:tabs>
                      <w:tab w:val="clear" w:pos="1080"/>
                    </w:tabs>
                    <w:autoSpaceDE w:val="0"/>
                    <w:autoSpaceDN w:val="0"/>
                    <w:adjustRightInd w:val="0"/>
                    <w:ind w:left="720"/>
                    <w:jc w:val="both"/>
                    <w:rPr>
                      <w:rFonts w:cs="Arial"/>
                      <w:lang w:val="mk-MK"/>
                    </w:rPr>
                  </w:pPr>
                  <w:r w:rsidRPr="00B92975">
                    <w:rPr>
                      <w:rFonts w:cs="Arial"/>
                      <w:lang w:val="mk-MK"/>
                    </w:rPr>
                    <w:lastRenderedPageBreak/>
                    <w:t>да вклучуваат правила, начини и постапки за намалување, диверзификација, трансфер и избегнување на ризиците, кои се идентификувани, мерени и оценети од страна на Банката;</w:t>
                  </w:r>
                </w:p>
                <w:p w14:paraId="0F4CBCDA" w14:textId="77777777" w:rsidR="00D3329A" w:rsidRPr="00B92975" w:rsidRDefault="00D3329A" w:rsidP="00D3329A">
                  <w:pPr>
                    <w:numPr>
                      <w:ilvl w:val="0"/>
                      <w:numId w:val="21"/>
                    </w:numPr>
                    <w:tabs>
                      <w:tab w:val="clear" w:pos="1080"/>
                    </w:tabs>
                    <w:autoSpaceDE w:val="0"/>
                    <w:autoSpaceDN w:val="0"/>
                    <w:adjustRightInd w:val="0"/>
                    <w:ind w:left="720"/>
                    <w:jc w:val="both"/>
                    <w:rPr>
                      <w:rFonts w:cs="Arial"/>
                      <w:lang w:val="mk-MK"/>
                    </w:rPr>
                  </w:pPr>
                  <w:r w:rsidRPr="00B92975">
                    <w:rPr>
                      <w:rFonts w:cs="Arial"/>
                      <w:lang w:val="mk-MK"/>
                    </w:rPr>
                    <w:t>да ги дефинираат фреквенцијата и методите за следење на ризиците.</w:t>
                  </w:r>
                </w:p>
                <w:p w14:paraId="0DF59E76" w14:textId="77777777" w:rsidR="00D3329A" w:rsidRPr="00B92975" w:rsidRDefault="00D3329A" w:rsidP="00D3329A">
                  <w:pPr>
                    <w:autoSpaceDE w:val="0"/>
                    <w:autoSpaceDN w:val="0"/>
                    <w:adjustRightInd w:val="0"/>
                    <w:jc w:val="both"/>
                    <w:rPr>
                      <w:rFonts w:cs="Arial"/>
                      <w:lang w:val="mk-MK"/>
                    </w:rPr>
                  </w:pPr>
                </w:p>
                <w:p w14:paraId="22CCCF3D" w14:textId="77777777" w:rsidR="00D3329A" w:rsidRPr="00B92975" w:rsidRDefault="00D3329A" w:rsidP="00D3329A">
                  <w:pPr>
                    <w:autoSpaceDE w:val="0"/>
                    <w:autoSpaceDN w:val="0"/>
                    <w:adjustRightInd w:val="0"/>
                    <w:jc w:val="both"/>
                    <w:rPr>
                      <w:rFonts w:cs="Arial"/>
                      <w:lang w:val="mk-MK"/>
                    </w:rPr>
                  </w:pPr>
                  <w:r w:rsidRPr="00B92975">
                    <w:rPr>
                      <w:rFonts w:cs="Arial"/>
                    </w:rPr>
                    <w:t xml:space="preserve">Заради оценка на потенцијалното влијание на еден или повеќе внатрешни или надворешни фактори на ризик врз вредноста на средствата и обврските на </w:t>
                  </w:r>
                  <w:r w:rsidRPr="00B92975">
                    <w:rPr>
                      <w:rFonts w:cs="Arial"/>
                      <w:lang w:val="mk-MK"/>
                    </w:rPr>
                    <w:t>Б</w:t>
                  </w:r>
                  <w:r w:rsidRPr="00B92975">
                    <w:rPr>
                      <w:rFonts w:cs="Arial"/>
                    </w:rPr>
                    <w:t xml:space="preserve">анката, односно врз нивото на сопствените средства и адекватноста на капитал, Банката, </w:t>
                  </w:r>
                  <w:r w:rsidRPr="00B92975">
                    <w:rPr>
                      <w:rFonts w:cs="Arial"/>
                      <w:lang w:val="mk-MK"/>
                    </w:rPr>
                    <w:t>полу</w:t>
                  </w:r>
                  <w:r w:rsidRPr="00B92975">
                    <w:rPr>
                      <w:rFonts w:cs="Arial"/>
                    </w:rPr>
                    <w:t xml:space="preserve">годишно, врши стрес-тестирање. Банката преку Процедури го дефинира начинот на вршење на стрес-тестирање, како и претпоставките врз кои се темели тоа тестирање. </w:t>
                  </w:r>
                </w:p>
                <w:p w14:paraId="26371DBF" w14:textId="77777777" w:rsidR="00D3329A" w:rsidRPr="00B92975" w:rsidRDefault="00D3329A" w:rsidP="00D3329A">
                  <w:pPr>
                    <w:autoSpaceDE w:val="0"/>
                    <w:autoSpaceDN w:val="0"/>
                    <w:adjustRightInd w:val="0"/>
                    <w:jc w:val="both"/>
                    <w:rPr>
                      <w:rFonts w:cs="Arial"/>
                      <w:lang w:val="mk-MK"/>
                    </w:rPr>
                  </w:pPr>
                </w:p>
                <w:p w14:paraId="2B7CDFE9" w14:textId="77777777" w:rsidR="00D3329A" w:rsidRPr="00B92975" w:rsidRDefault="00D3329A" w:rsidP="00D3329A">
                  <w:pPr>
                    <w:autoSpaceDE w:val="0"/>
                    <w:autoSpaceDN w:val="0"/>
                    <w:adjustRightInd w:val="0"/>
                    <w:jc w:val="both"/>
                  </w:pPr>
                  <w:r w:rsidRPr="00B92975">
                    <w:rPr>
                      <w:lang w:val="mk-MK"/>
                    </w:rPr>
                    <w:t>Е</w:t>
                  </w:r>
                  <w:r w:rsidRPr="00B92975">
                    <w:t xml:space="preserve">днаш годишно, согласно </w:t>
                  </w:r>
                  <w:r w:rsidRPr="00B92975">
                    <w:rPr>
                      <w:lang w:val="mk-MK"/>
                    </w:rPr>
                    <w:t>М</w:t>
                  </w:r>
                  <w:r w:rsidRPr="00B92975">
                    <w:t xml:space="preserve">етодологијата и процесот на утврдување на интерен капитал, </w:t>
                  </w:r>
                  <w:r w:rsidRPr="00B92975">
                    <w:rPr>
                      <w:lang w:val="mk-MK"/>
                    </w:rPr>
                    <w:t>Б</w:t>
                  </w:r>
                  <w:r w:rsidRPr="00B92975">
                    <w:t xml:space="preserve">анката врши оценка на профилот на ризичност согласно </w:t>
                  </w:r>
                  <w:r w:rsidRPr="00B92975">
                    <w:rPr>
                      <w:lang w:val="mk-MK"/>
                    </w:rPr>
                    <w:t>П</w:t>
                  </w:r>
                  <w:r w:rsidRPr="00B92975">
                    <w:t>роцесот на утврдување на интерен капитал (</w:t>
                  </w:r>
                  <w:r w:rsidRPr="00B92975">
                    <w:rPr>
                      <w:lang w:val="en-US"/>
                    </w:rPr>
                    <w:t>ICAAP</w:t>
                  </w:r>
                  <w:r w:rsidRPr="00B92975">
                    <w:t>/</w:t>
                  </w:r>
                  <w:r w:rsidRPr="00B92975">
                    <w:rPr>
                      <w:lang w:val="mk-MK"/>
                    </w:rPr>
                    <w:t>ПИК</w:t>
                  </w:r>
                  <w:r w:rsidRPr="00B92975">
                    <w:t>), а по потреба врши квартално ревидирање.</w:t>
                  </w:r>
                </w:p>
                <w:p w14:paraId="70A6B7F9" w14:textId="77777777" w:rsidR="00D3329A" w:rsidRPr="00B92975" w:rsidRDefault="00D3329A" w:rsidP="00D3329A">
                  <w:pPr>
                    <w:autoSpaceDE w:val="0"/>
                    <w:autoSpaceDN w:val="0"/>
                    <w:adjustRightInd w:val="0"/>
                    <w:jc w:val="both"/>
                    <w:rPr>
                      <w:lang w:val="mk-MK"/>
                    </w:rPr>
                  </w:pPr>
                </w:p>
                <w:p w14:paraId="46ECAC7D" w14:textId="77777777" w:rsidR="00D3329A" w:rsidRPr="00B92975" w:rsidRDefault="00D3329A" w:rsidP="00D3329A">
                  <w:pPr>
                    <w:autoSpaceDE w:val="0"/>
                    <w:autoSpaceDN w:val="0"/>
                    <w:adjustRightInd w:val="0"/>
                    <w:jc w:val="both"/>
                    <w:rPr>
                      <w:rFonts w:cs="Arial"/>
                    </w:rPr>
                  </w:pPr>
                  <w:r w:rsidRPr="00B92975">
                    <w:rPr>
                      <w:rFonts w:cs="Arial"/>
                    </w:rPr>
                    <w:t>НЛБ Банка АД Скопје поставува здрави практики за ефикасно управување со ризиците, вклучувајќи и јасни линии на одговорност за преземање и управување со ризици. Управувањето со ризиците се однесува на улогите и одговорностите на телата за одлучување поврзани со управување на ризик, функцијата на управување со ризик и независната проценка на рамката за управување со ризик. Процесите на управување со Банката се дизајнирани така да делуваат против ерозија на практиките за управување со ризик преку промена на деловното и економското опкружување.</w:t>
                  </w:r>
                </w:p>
                <w:p w14:paraId="00A219F2" w14:textId="77777777" w:rsidR="00D3329A" w:rsidRPr="00B92975" w:rsidRDefault="00D3329A" w:rsidP="00D3329A">
                  <w:pPr>
                    <w:autoSpaceDE w:val="0"/>
                    <w:autoSpaceDN w:val="0"/>
                    <w:adjustRightInd w:val="0"/>
                    <w:jc w:val="both"/>
                    <w:rPr>
                      <w:rFonts w:cs="Arial"/>
                    </w:rPr>
                  </w:pPr>
                </w:p>
                <w:p w14:paraId="65CA06EB" w14:textId="77777777" w:rsidR="00D3329A" w:rsidRPr="00B92975" w:rsidRDefault="00D3329A" w:rsidP="00D3329A">
                  <w:pPr>
                    <w:autoSpaceDE w:val="0"/>
                    <w:autoSpaceDN w:val="0"/>
                    <w:adjustRightInd w:val="0"/>
                    <w:jc w:val="both"/>
                    <w:rPr>
                      <w:rFonts w:cs="Arial"/>
                    </w:rPr>
                  </w:pPr>
                  <w:r w:rsidRPr="00B92975">
                    <w:rPr>
                      <w:rFonts w:cs="Arial"/>
                    </w:rPr>
                    <w:t>Управувањето со ризиците се состои од јасна организациска структура и ефикасен систем на внатрешна контрола во согласност со локалните регулативи за правила за добро корпоративно управување. Банката има воспоставена организациска структура, која се темели врр концепт на три линии на одбрана, што обезбедува јасно дефинирани надлежности и одговорности помеѓу лицата и организационите единици кои вршат активности за преземање на ризик, од една страна, и лицата и организационите единици кои вршат управување со ризик, од друга. Организациската структура е создадена со цел да се спречи конфликт на интереси и да се обезбеди транспарентен и докумнетиран процес на донесување на одлуки. Организационите единици вклучени во управувањето со рисикот се прикажани во табелата подолу:</w:t>
                  </w:r>
                </w:p>
                <w:p w14:paraId="242E86F7" w14:textId="77777777" w:rsidR="00D3329A" w:rsidRDefault="00D3329A" w:rsidP="00D3329A">
                  <w:pPr>
                    <w:autoSpaceDE w:val="0"/>
                    <w:autoSpaceDN w:val="0"/>
                    <w:adjustRightInd w:val="0"/>
                    <w:jc w:val="both"/>
                    <w:rPr>
                      <w:rFonts w:cs="Arial"/>
                    </w:rPr>
                  </w:pPr>
                </w:p>
                <w:p w14:paraId="1C6154F9" w14:textId="4A7AC6B5" w:rsidR="00E62F2D" w:rsidRDefault="00C67928" w:rsidP="00D3329A">
                  <w:pPr>
                    <w:autoSpaceDE w:val="0"/>
                    <w:autoSpaceDN w:val="0"/>
                    <w:adjustRightInd w:val="0"/>
                    <w:jc w:val="both"/>
                    <w:rPr>
                      <w:rFonts w:cs="Arial"/>
                    </w:rPr>
                  </w:pPr>
                  <w:r>
                    <w:rPr>
                      <w:rFonts w:cs="Arial"/>
                      <w:noProof/>
                    </w:rPr>
                    <w:lastRenderedPageBreak/>
                    <w:drawing>
                      <wp:inline distT="0" distB="0" distL="0" distR="0" wp14:anchorId="6325DB27" wp14:editId="0C8D5A00">
                        <wp:extent cx="5434330" cy="7680960"/>
                        <wp:effectExtent l="0" t="0" r="0" b="0"/>
                        <wp:docPr id="3" name="Picture 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iagram&#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434330" cy="7680960"/>
                                </a:xfrm>
                                <a:prstGeom prst="rect">
                                  <a:avLst/>
                                </a:prstGeom>
                              </pic:spPr>
                            </pic:pic>
                          </a:graphicData>
                        </a:graphic>
                      </wp:inline>
                    </w:drawing>
                  </w:r>
                </w:p>
                <w:p w14:paraId="228B8D35" w14:textId="77777777" w:rsidR="00C67928" w:rsidRPr="00B92975" w:rsidRDefault="00C67928" w:rsidP="00D3329A">
                  <w:pPr>
                    <w:autoSpaceDE w:val="0"/>
                    <w:autoSpaceDN w:val="0"/>
                    <w:adjustRightInd w:val="0"/>
                    <w:jc w:val="both"/>
                    <w:rPr>
                      <w:rFonts w:cs="Arial"/>
                    </w:rPr>
                  </w:pPr>
                </w:p>
                <w:p w14:paraId="73653E93" w14:textId="77777777" w:rsidR="00E00845" w:rsidRPr="00580673" w:rsidRDefault="00E00845" w:rsidP="00580673">
                  <w:pPr>
                    <w:pStyle w:val="pf0"/>
                    <w:spacing w:before="0" w:beforeAutospacing="0"/>
                    <w:rPr>
                      <w:rStyle w:val="cf11"/>
                      <w:rFonts w:ascii="Arial" w:hAnsi="Arial" w:cs="Arial"/>
                      <w:sz w:val="20"/>
                      <w:szCs w:val="20"/>
                    </w:rPr>
                  </w:pPr>
                  <w:r w:rsidRPr="00580673">
                    <w:rPr>
                      <w:rStyle w:val="cf01"/>
                      <w:rFonts w:ascii="Arial" w:hAnsi="Arial" w:cs="Arial"/>
                      <w:sz w:val="20"/>
                      <w:szCs w:val="20"/>
                    </w:rPr>
                    <w:t xml:space="preserve">Организационата структура </w:t>
                  </w:r>
                  <w:r w:rsidRPr="00580673">
                    <w:rPr>
                      <w:rStyle w:val="cf11"/>
                      <w:rFonts w:ascii="Arial" w:hAnsi="Arial" w:cs="Arial"/>
                      <w:sz w:val="20"/>
                      <w:szCs w:val="20"/>
                    </w:rPr>
                    <w:t xml:space="preserve">на Банката е систем на организациони делови кои според обемот на своите компетенции и хиерархиска положба, се распоредени во три основни организациони нивоа и тоа на: </w:t>
                  </w:r>
                </w:p>
                <w:p w14:paraId="0E1E74A8" w14:textId="77777777" w:rsidR="00E00845" w:rsidRPr="00580673" w:rsidRDefault="00E00845" w:rsidP="00580673">
                  <w:pPr>
                    <w:pStyle w:val="pf0"/>
                    <w:spacing w:before="0" w:beforeAutospacing="0"/>
                    <w:rPr>
                      <w:rFonts w:ascii="Arial" w:hAnsi="Arial" w:cs="Arial"/>
                      <w:sz w:val="20"/>
                      <w:szCs w:val="20"/>
                    </w:rPr>
                  </w:pPr>
                  <w:r w:rsidRPr="00580673">
                    <w:rPr>
                      <w:rStyle w:val="cf11"/>
                      <w:rFonts w:ascii="Arial" w:hAnsi="Arial" w:cs="Arial"/>
                      <w:sz w:val="20"/>
                      <w:szCs w:val="20"/>
                    </w:rPr>
                    <w:t xml:space="preserve">1. Стратегиско организационо ниво </w:t>
                  </w:r>
                </w:p>
                <w:p w14:paraId="416E1032" w14:textId="77777777" w:rsidR="00E00845" w:rsidRPr="00580673" w:rsidRDefault="00E00845" w:rsidP="00580673">
                  <w:pPr>
                    <w:pStyle w:val="pf0"/>
                    <w:spacing w:before="0" w:beforeAutospacing="0"/>
                    <w:rPr>
                      <w:rFonts w:ascii="Arial" w:hAnsi="Arial" w:cs="Arial"/>
                      <w:sz w:val="20"/>
                      <w:szCs w:val="20"/>
                    </w:rPr>
                  </w:pPr>
                  <w:r w:rsidRPr="00580673">
                    <w:rPr>
                      <w:rStyle w:val="cf11"/>
                      <w:rFonts w:ascii="Arial" w:hAnsi="Arial" w:cs="Arial"/>
                      <w:sz w:val="20"/>
                      <w:szCs w:val="20"/>
                    </w:rPr>
                    <w:lastRenderedPageBreak/>
                    <w:t xml:space="preserve">2. Тактичко организационо ниво </w:t>
                  </w:r>
                </w:p>
                <w:p w14:paraId="36702CB9" w14:textId="77777777" w:rsidR="00E00845" w:rsidRPr="00580673" w:rsidRDefault="00E00845" w:rsidP="00580673">
                  <w:pPr>
                    <w:pStyle w:val="pf0"/>
                    <w:spacing w:before="0" w:beforeAutospacing="0"/>
                    <w:rPr>
                      <w:rFonts w:ascii="Arial" w:hAnsi="Arial" w:cs="Arial"/>
                      <w:sz w:val="20"/>
                      <w:szCs w:val="20"/>
                    </w:rPr>
                  </w:pPr>
                  <w:r w:rsidRPr="00580673">
                    <w:rPr>
                      <w:rStyle w:val="cf11"/>
                      <w:rFonts w:ascii="Arial" w:hAnsi="Arial" w:cs="Arial"/>
                      <w:sz w:val="20"/>
                      <w:szCs w:val="20"/>
                    </w:rPr>
                    <w:t xml:space="preserve">3. Оперативно организационо ниво </w:t>
                  </w:r>
                </w:p>
                <w:p w14:paraId="743E3FB4" w14:textId="77777777" w:rsidR="00D3329A" w:rsidRPr="00B92975" w:rsidRDefault="00D3329A" w:rsidP="00D3329A">
                  <w:pPr>
                    <w:jc w:val="both"/>
                    <w:rPr>
                      <w:rFonts w:cs="Arial"/>
                    </w:rPr>
                  </w:pPr>
                </w:p>
                <w:p w14:paraId="131ECC09" w14:textId="77777777" w:rsidR="00D3329A" w:rsidRPr="00B92975" w:rsidRDefault="00D3329A" w:rsidP="00D3329A">
                  <w:pPr>
                    <w:jc w:val="both"/>
                    <w:rPr>
                      <w:rFonts w:cs="Arial"/>
                      <w:lang w:val="mk-MK"/>
                    </w:rPr>
                  </w:pPr>
                  <w:r w:rsidRPr="00B92975">
                    <w:rPr>
                      <w:rFonts w:cs="Arial"/>
                      <w:lang w:val="mk-MK"/>
                    </w:rPr>
                    <w:t xml:space="preserve">Јасно се дефинирани надлежностите на Надзорниот одбор, Одборот за управување со ризици, Управниот одбор на Банката и другите тела што донесуваат одлуки во управувањето со ризиците, како и нивната соработка и размена на информации во управувањето со ризиците. Покрај тоа, Банката назначи член на Управниот одбор одговорен за следење на извршувањето на функцијата управување со ризици (Главен директор за управување со ризик – </w:t>
                  </w:r>
                  <w:r w:rsidRPr="00B92975">
                    <w:rPr>
                      <w:rFonts w:cs="Arial"/>
                      <w:lang w:val="en-US"/>
                    </w:rPr>
                    <w:t>CRO</w:t>
                  </w:r>
                  <w:r w:rsidRPr="00B92975">
                    <w:rPr>
                      <w:rFonts w:cs="Arial"/>
                      <w:lang w:val="mk-MK"/>
                    </w:rPr>
                    <w:t>). Членот на Управниот одбор одговорен за управување со ризик е целосно независен во следењето на ефикасноста на функцијата за управување со ризик и не е директно одговорен за активностите што претставуваат преземање на ризик. Ова лице има пристап до сите информации потребно за ефикасно извршување на своите должности.</w:t>
                  </w:r>
                </w:p>
                <w:p w14:paraId="1F8641A0" w14:textId="77777777" w:rsidR="00D3329A" w:rsidRPr="00B92975" w:rsidRDefault="00D3329A" w:rsidP="00D3329A">
                  <w:pPr>
                    <w:jc w:val="both"/>
                    <w:rPr>
                      <w:rFonts w:cs="Arial"/>
                      <w:lang w:val="mk-MK"/>
                    </w:rPr>
                  </w:pPr>
                </w:p>
                <w:p w14:paraId="7C904E1E" w14:textId="77777777" w:rsidR="00D3329A" w:rsidRPr="00B92975" w:rsidRDefault="00D3329A" w:rsidP="00D3329A">
                  <w:pPr>
                    <w:jc w:val="both"/>
                    <w:rPr>
                      <w:rFonts w:cs="Arial"/>
                    </w:rPr>
                  </w:pPr>
                  <w:r w:rsidRPr="00B92975">
                    <w:rPr>
                      <w:rFonts w:cs="Arial"/>
                      <w:b/>
                      <w:lang w:val="mk-MK"/>
                    </w:rPr>
                    <w:t>Надзорниот одбор</w:t>
                  </w:r>
                  <w:r w:rsidRPr="00B92975">
                    <w:rPr>
                      <w:rFonts w:cs="Arial"/>
                      <w:bCs/>
                      <w:lang w:val="mk-MK"/>
                    </w:rPr>
                    <w:t xml:space="preserve"> на Банката ги спроведува, во најмала рака, следниве активности</w:t>
                  </w:r>
                  <w:r w:rsidRPr="00B92975">
                    <w:rPr>
                      <w:rFonts w:cs="Arial"/>
                    </w:rPr>
                    <w:t xml:space="preserve">: </w:t>
                  </w:r>
                </w:p>
                <w:p w14:paraId="4711E18A"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ја одобрува Стратегијата за управување со ризици и ја следи нејзината имплементација;</w:t>
                  </w:r>
                </w:p>
                <w:p w14:paraId="140642BA"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ги одобрува политиките поврзани со ризикот и го следи нивното извршување;</w:t>
                  </w:r>
                </w:p>
                <w:p w14:paraId="4F3A9A02"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најмалку еднаш годишно ја проценува усогласеноста на испорачаната стратегија и активностите на Банкта и надворешното опкружување;</w:t>
                  </w:r>
                </w:p>
                <w:p w14:paraId="163320A9"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ги разгледува извештаите за профилот на ризик на Банката;</w:t>
                  </w:r>
                </w:p>
                <w:p w14:paraId="4278B661"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ги одобрува границите на изложеност на поедини типови на ризик;</w:t>
                  </w:r>
                </w:p>
                <w:p w14:paraId="2BF98FEA"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обезбедува услови и ја следи ефикасноста на внатрешната контрола, како компонента на системот за управување со ризик;</w:t>
                  </w:r>
                </w:p>
                <w:p w14:paraId="2012D455"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одобрува воведување на нови производи кои имаат значително влијание врз профилот на ризик на Банката;</w:t>
                  </w:r>
                </w:p>
                <w:p w14:paraId="0D688FEF" w14:textId="77777777" w:rsidR="00D3329A" w:rsidRPr="00B92975" w:rsidRDefault="00D3329A" w:rsidP="00D3329A">
                  <w:pPr>
                    <w:numPr>
                      <w:ilvl w:val="0"/>
                      <w:numId w:val="37"/>
                    </w:numPr>
                    <w:contextualSpacing/>
                    <w:jc w:val="both"/>
                    <w:rPr>
                      <w:rFonts w:eastAsia="Calibri" w:cs="Arial"/>
                      <w:lang w:val="en-US"/>
                    </w:rPr>
                  </w:pPr>
                  <w:r w:rsidRPr="00B92975">
                    <w:rPr>
                      <w:rFonts w:eastAsia="Calibri" w:cs="Arial"/>
                      <w:lang w:val="mk-MK"/>
                    </w:rPr>
                    <w:t>други активности.</w:t>
                  </w:r>
                  <w:r w:rsidRPr="00B92975">
                    <w:rPr>
                      <w:rFonts w:eastAsia="Calibri" w:cs="Arial"/>
                      <w:lang w:val="en-US"/>
                    </w:rPr>
                    <w:t xml:space="preserve">  </w:t>
                  </w:r>
                </w:p>
                <w:p w14:paraId="7F666923" w14:textId="77777777" w:rsidR="00D3329A" w:rsidRPr="00B92975" w:rsidRDefault="00D3329A" w:rsidP="00D3329A">
                  <w:pPr>
                    <w:jc w:val="both"/>
                    <w:rPr>
                      <w:rFonts w:cs="Arial"/>
                    </w:rPr>
                  </w:pPr>
                </w:p>
                <w:p w14:paraId="16DC4F17" w14:textId="77777777" w:rsidR="00D3329A" w:rsidRPr="00B92975" w:rsidRDefault="00D3329A" w:rsidP="00D3329A">
                  <w:pPr>
                    <w:jc w:val="both"/>
                    <w:rPr>
                      <w:rFonts w:cs="Arial"/>
                    </w:rPr>
                  </w:pPr>
                  <w:r w:rsidRPr="00B92975">
                    <w:rPr>
                      <w:rFonts w:cs="Arial"/>
                      <w:b/>
                      <w:lang w:val="mk-MK"/>
                    </w:rPr>
                    <w:t>Одборот за управување со ризици</w:t>
                  </w:r>
                  <w:r w:rsidRPr="00B92975">
                    <w:rPr>
                      <w:rFonts w:cs="Arial"/>
                      <w:bCs/>
                      <w:lang w:val="mk-MK"/>
                    </w:rPr>
                    <w:t xml:space="preserve"> ги спроведува, во најмала рака, следниве активности</w:t>
                  </w:r>
                  <w:r w:rsidRPr="00B92975">
                    <w:rPr>
                      <w:rFonts w:cs="Arial"/>
                    </w:rPr>
                    <w:t>:</w:t>
                  </w:r>
                </w:p>
                <w:p w14:paraId="1CD2E413" w14:textId="77777777" w:rsidR="00D3329A" w:rsidRPr="00B92975" w:rsidRDefault="00D3329A" w:rsidP="00D3329A">
                  <w:pPr>
                    <w:numPr>
                      <w:ilvl w:val="0"/>
                      <w:numId w:val="39"/>
                    </w:numPr>
                    <w:jc w:val="both"/>
                    <w:rPr>
                      <w:rFonts w:cs="Arial"/>
                    </w:rPr>
                  </w:pPr>
                  <w:r w:rsidRPr="00B92975">
                    <w:rPr>
                      <w:rFonts w:cs="Arial"/>
                      <w:lang w:val="mk-MK"/>
                    </w:rPr>
                    <w:t>воспоставува и спроведува Стратегија за управување со ризици;</w:t>
                  </w:r>
                </w:p>
                <w:p w14:paraId="618461A6" w14:textId="77777777" w:rsidR="00D3329A" w:rsidRPr="00B92975" w:rsidRDefault="00D3329A" w:rsidP="00D3329A">
                  <w:pPr>
                    <w:numPr>
                      <w:ilvl w:val="0"/>
                      <w:numId w:val="39"/>
                    </w:numPr>
                    <w:jc w:val="both"/>
                    <w:rPr>
                      <w:rFonts w:cs="Arial"/>
                    </w:rPr>
                  </w:pPr>
                  <w:r w:rsidRPr="00B92975">
                    <w:rPr>
                      <w:rFonts w:cs="Arial"/>
                      <w:lang w:val="mk-MK"/>
                    </w:rPr>
                    <w:t>воспоставува и спроведува политики поврзани со</w:t>
                  </w:r>
                  <w:r w:rsidRPr="00B92975">
                    <w:rPr>
                      <w:rFonts w:cs="Arial"/>
                      <w:lang w:val="en-US"/>
                    </w:rPr>
                    <w:t xml:space="preserve"> </w:t>
                  </w:r>
                  <w:r w:rsidRPr="00B92975">
                    <w:rPr>
                      <w:rFonts w:cs="Arial"/>
                      <w:lang w:val="mk-MK"/>
                    </w:rPr>
                    <w:t>ризик;</w:t>
                  </w:r>
                </w:p>
                <w:p w14:paraId="2EA318B7" w14:textId="77777777" w:rsidR="00D3329A" w:rsidRPr="00B92975" w:rsidRDefault="00D3329A" w:rsidP="00D3329A">
                  <w:pPr>
                    <w:numPr>
                      <w:ilvl w:val="0"/>
                      <w:numId w:val="39"/>
                    </w:numPr>
                    <w:jc w:val="both"/>
                    <w:rPr>
                      <w:rFonts w:cs="Arial"/>
                    </w:rPr>
                  </w:pPr>
                  <w:r w:rsidRPr="00B92975">
                    <w:rPr>
                      <w:rFonts w:cs="Arial"/>
                      <w:lang w:val="mk-MK"/>
                    </w:rPr>
                    <w:t>имплементира и спроведува политики поврзани со ризик и дава предлози за нивна ревизија;</w:t>
                  </w:r>
                </w:p>
                <w:p w14:paraId="41F7DE2D" w14:textId="77777777" w:rsidR="00D3329A" w:rsidRPr="00B92975" w:rsidRDefault="00D3329A" w:rsidP="00D3329A">
                  <w:pPr>
                    <w:numPr>
                      <w:ilvl w:val="0"/>
                      <w:numId w:val="39"/>
                    </w:numPr>
                    <w:jc w:val="both"/>
                    <w:rPr>
                      <w:rFonts w:cs="Arial"/>
                    </w:rPr>
                  </w:pPr>
                  <w:r w:rsidRPr="00B92975">
                    <w:rPr>
                      <w:rFonts w:cs="Arial"/>
                      <w:lang w:val="mk-MK"/>
                    </w:rPr>
                    <w:t>имплементира процедури и методологии за стрес-тест;</w:t>
                  </w:r>
                </w:p>
                <w:p w14:paraId="5D1338F1" w14:textId="77777777" w:rsidR="00D3329A" w:rsidRPr="00B92975" w:rsidRDefault="00D3329A" w:rsidP="00D3329A">
                  <w:pPr>
                    <w:numPr>
                      <w:ilvl w:val="0"/>
                      <w:numId w:val="39"/>
                    </w:numPr>
                    <w:jc w:val="both"/>
                    <w:rPr>
                      <w:rFonts w:cs="Arial"/>
                    </w:rPr>
                  </w:pPr>
                  <w:r w:rsidRPr="00B92975">
                    <w:rPr>
                      <w:rFonts w:cs="Arial"/>
                      <w:lang w:val="mk-MK"/>
                    </w:rPr>
                    <w:t>имплементира политика за употреба на услуги обезбедени од надворешни субјекти;</w:t>
                  </w:r>
                </w:p>
                <w:p w14:paraId="457C522A" w14:textId="77777777" w:rsidR="00D3329A" w:rsidRPr="00B92975" w:rsidRDefault="00D3329A" w:rsidP="00D3329A">
                  <w:pPr>
                    <w:numPr>
                      <w:ilvl w:val="0"/>
                      <w:numId w:val="39"/>
                    </w:numPr>
                    <w:jc w:val="both"/>
                    <w:rPr>
                      <w:rFonts w:cs="Arial"/>
                    </w:rPr>
                  </w:pPr>
                  <w:r w:rsidRPr="00B92975">
                    <w:rPr>
                      <w:rFonts w:cs="Arial"/>
                      <w:lang w:val="mk-MK"/>
                    </w:rPr>
                    <w:t>редовно го проценува системот за управување со ризик;</w:t>
                  </w:r>
                </w:p>
                <w:p w14:paraId="4D68DC37" w14:textId="77777777" w:rsidR="00D3329A" w:rsidRPr="00B92975" w:rsidRDefault="00D3329A" w:rsidP="00D3329A">
                  <w:pPr>
                    <w:numPr>
                      <w:ilvl w:val="0"/>
                      <w:numId w:val="39"/>
                    </w:numPr>
                    <w:jc w:val="both"/>
                    <w:rPr>
                      <w:rFonts w:cs="Arial"/>
                    </w:rPr>
                  </w:pPr>
                  <w:r w:rsidRPr="00B92975">
                    <w:rPr>
                      <w:rFonts w:cs="Arial"/>
                      <w:lang w:val="mk-MK"/>
                    </w:rPr>
                    <w:t>врши анализа на извештаите за изложеноста на Банката на поедини ризици, како и на извештаите за профилот на ризик на Банката;</w:t>
                  </w:r>
                </w:p>
                <w:p w14:paraId="4AD50458" w14:textId="77777777" w:rsidR="00D3329A" w:rsidRPr="00B92975" w:rsidRDefault="00D3329A" w:rsidP="00D3329A">
                  <w:pPr>
                    <w:numPr>
                      <w:ilvl w:val="0"/>
                      <w:numId w:val="39"/>
                    </w:numPr>
                    <w:jc w:val="both"/>
                    <w:rPr>
                      <w:rFonts w:cs="Arial"/>
                    </w:rPr>
                  </w:pPr>
                  <w:r w:rsidRPr="00B92975">
                    <w:rPr>
                      <w:rFonts w:cs="Arial"/>
                      <w:lang w:val="mk-MK"/>
                    </w:rPr>
                    <w:t>ги дефинира и редовно ги ревидира ограничувањата на изложеност на одредени типови на ризик;</w:t>
                  </w:r>
                </w:p>
                <w:p w14:paraId="6914800E" w14:textId="77777777" w:rsidR="00D3329A" w:rsidRPr="00B92975" w:rsidRDefault="00D3329A" w:rsidP="00D3329A">
                  <w:pPr>
                    <w:numPr>
                      <w:ilvl w:val="0"/>
                      <w:numId w:val="39"/>
                    </w:numPr>
                    <w:jc w:val="both"/>
                    <w:rPr>
                      <w:rFonts w:cs="Arial"/>
                    </w:rPr>
                  </w:pPr>
                  <w:r w:rsidRPr="00B92975">
                    <w:rPr>
                      <w:rFonts w:cs="Arial"/>
                      <w:lang w:val="mk-MK"/>
                    </w:rPr>
                    <w:t>ги дефинира можните исклучоци во однос на дефинираните ограничувања и ја распоредува одговорноста за одлучување за примена на таквите исклучоци;</w:t>
                  </w:r>
                </w:p>
                <w:p w14:paraId="52817BFE" w14:textId="77777777" w:rsidR="00D3329A" w:rsidRPr="00B92975" w:rsidRDefault="00D3329A" w:rsidP="00D3329A">
                  <w:pPr>
                    <w:numPr>
                      <w:ilvl w:val="0"/>
                      <w:numId w:val="39"/>
                    </w:numPr>
                    <w:jc w:val="both"/>
                    <w:rPr>
                      <w:rFonts w:cs="Arial"/>
                    </w:rPr>
                  </w:pPr>
                  <w:r w:rsidRPr="00B92975">
                    <w:rPr>
                      <w:rFonts w:cs="Arial"/>
                      <w:lang w:val="mk-MK"/>
                    </w:rPr>
                    <w:t xml:space="preserve">други активности.    </w:t>
                  </w:r>
                </w:p>
                <w:p w14:paraId="4C7E901F" w14:textId="77777777" w:rsidR="00D3329A" w:rsidRPr="00B92975" w:rsidRDefault="00D3329A" w:rsidP="00D3329A">
                  <w:pPr>
                    <w:jc w:val="both"/>
                    <w:rPr>
                      <w:rFonts w:cs="Arial"/>
                    </w:rPr>
                  </w:pPr>
                </w:p>
                <w:p w14:paraId="2E6BCEBA" w14:textId="77777777" w:rsidR="00D3329A" w:rsidRPr="00B92975" w:rsidRDefault="00D3329A" w:rsidP="00D3329A">
                  <w:pPr>
                    <w:jc w:val="both"/>
                    <w:rPr>
                      <w:rFonts w:cs="Arial"/>
                    </w:rPr>
                  </w:pPr>
                  <w:r w:rsidRPr="00B92975">
                    <w:rPr>
                      <w:rFonts w:cs="Arial"/>
                      <w:bCs/>
                      <w:lang w:val="mk-MK"/>
                    </w:rPr>
                    <w:t xml:space="preserve"> </w:t>
                  </w:r>
                  <w:r w:rsidRPr="00B92975">
                    <w:rPr>
                      <w:rFonts w:cs="Arial"/>
                      <w:b/>
                      <w:lang w:val="mk-MK"/>
                    </w:rPr>
                    <w:t>Управниот одбор</w:t>
                  </w:r>
                  <w:r w:rsidRPr="00B92975">
                    <w:rPr>
                      <w:rFonts w:cs="Arial"/>
                      <w:bCs/>
                      <w:lang w:val="mk-MK"/>
                    </w:rPr>
                    <w:t xml:space="preserve"> ги спроведува, во најмала рака, следниве активности</w:t>
                  </w:r>
                  <w:r w:rsidRPr="00B92975">
                    <w:rPr>
                      <w:rFonts w:cs="Arial"/>
                    </w:rPr>
                    <w:t>:</w:t>
                  </w:r>
                </w:p>
                <w:p w14:paraId="78E68AC3" w14:textId="77777777" w:rsidR="00D3329A" w:rsidRPr="00B92975" w:rsidRDefault="00D3329A" w:rsidP="00D3329A">
                  <w:pPr>
                    <w:numPr>
                      <w:ilvl w:val="0"/>
                      <w:numId w:val="38"/>
                    </w:numPr>
                    <w:jc w:val="both"/>
                    <w:rPr>
                      <w:rFonts w:cs="Arial"/>
                    </w:rPr>
                  </w:pPr>
                  <w:r w:rsidRPr="00B92975">
                    <w:rPr>
                      <w:rFonts w:cs="Arial"/>
                      <w:lang w:val="mk-MK"/>
                    </w:rPr>
                    <w:t>утврдува и спроведува соодветни процедури за идентификација, мерење или проценка, следење, контрола или намалување на ризиците;</w:t>
                  </w:r>
                </w:p>
                <w:p w14:paraId="3F6648D6" w14:textId="77777777" w:rsidR="00D3329A" w:rsidRPr="00B92975" w:rsidRDefault="00D3329A" w:rsidP="00D3329A">
                  <w:pPr>
                    <w:numPr>
                      <w:ilvl w:val="0"/>
                      <w:numId w:val="38"/>
                    </w:numPr>
                    <w:jc w:val="both"/>
                    <w:rPr>
                      <w:rFonts w:cs="Arial"/>
                    </w:rPr>
                  </w:pPr>
                  <w:r w:rsidRPr="00B92975">
                    <w:rPr>
                      <w:rFonts w:cs="Arial"/>
                      <w:lang w:val="mk-MK"/>
                    </w:rPr>
                    <w:t>го дефинира и одобрува Правилникот за овластувања и потпишување во Банката;</w:t>
                  </w:r>
                </w:p>
                <w:p w14:paraId="52050618" w14:textId="77777777" w:rsidR="00D3329A" w:rsidRPr="00B92975" w:rsidRDefault="00D3329A" w:rsidP="00D3329A">
                  <w:pPr>
                    <w:numPr>
                      <w:ilvl w:val="0"/>
                      <w:numId w:val="38"/>
                    </w:numPr>
                    <w:jc w:val="both"/>
                    <w:rPr>
                      <w:rFonts w:cs="Arial"/>
                    </w:rPr>
                  </w:pPr>
                  <w:r w:rsidRPr="00B92975">
                    <w:rPr>
                      <w:rFonts w:cs="Arial"/>
                      <w:lang w:val="mk-MK"/>
                    </w:rPr>
                    <w:t>воспоставува информативен систем, како и систем наменет за известување до Управниот одбор и Одборот за управување со ризици во врска со можно надминување на пропишаните ограничувања на изложеност на поедини ризици;</w:t>
                  </w:r>
                </w:p>
                <w:p w14:paraId="25C7A415" w14:textId="77777777" w:rsidR="00D3329A" w:rsidRPr="00B92975" w:rsidRDefault="00D3329A" w:rsidP="00D3329A">
                  <w:pPr>
                    <w:numPr>
                      <w:ilvl w:val="0"/>
                      <w:numId w:val="38"/>
                    </w:numPr>
                    <w:jc w:val="both"/>
                    <w:rPr>
                      <w:rFonts w:cs="Arial"/>
                    </w:rPr>
                  </w:pPr>
                  <w:r w:rsidRPr="00B92975">
                    <w:rPr>
                      <w:rFonts w:cs="Arial"/>
                      <w:lang w:val="mk-MK"/>
                    </w:rPr>
                    <w:t>обезбедува услови за ефикасно извршување на процесот на управување со ризик, вклучувајќи соодветна и навремена информација за сите вработени во Банката кои учествуваат во процесот на управување со одредени ризици;</w:t>
                  </w:r>
                </w:p>
                <w:p w14:paraId="76EE798A" w14:textId="77777777" w:rsidR="00D3329A" w:rsidRPr="00B92975" w:rsidRDefault="00D3329A" w:rsidP="00D3329A">
                  <w:pPr>
                    <w:numPr>
                      <w:ilvl w:val="0"/>
                      <w:numId w:val="38"/>
                    </w:numPr>
                    <w:jc w:val="both"/>
                    <w:rPr>
                      <w:rFonts w:cs="Arial"/>
                    </w:rPr>
                  </w:pPr>
                  <w:r w:rsidRPr="00B92975">
                    <w:rPr>
                      <w:rFonts w:cs="Arial"/>
                      <w:lang w:val="mk-MK"/>
                    </w:rPr>
                    <w:t>воспоставува постапка за воведување на нов производ или систем во Банката;</w:t>
                  </w:r>
                </w:p>
                <w:p w14:paraId="35B9A103" w14:textId="77777777" w:rsidR="00D3329A" w:rsidRPr="00B92975" w:rsidRDefault="00D3329A" w:rsidP="00D3329A">
                  <w:pPr>
                    <w:numPr>
                      <w:ilvl w:val="0"/>
                      <w:numId w:val="38"/>
                    </w:numPr>
                    <w:jc w:val="both"/>
                    <w:rPr>
                      <w:rFonts w:cs="Arial"/>
                    </w:rPr>
                  </w:pPr>
                  <w:r w:rsidRPr="00B92975">
                    <w:rPr>
                      <w:rFonts w:cs="Arial"/>
                      <w:lang w:val="mk-MK"/>
                    </w:rPr>
                    <w:t>воспоставува процедури за користење услуги од надворешни субјекти;</w:t>
                  </w:r>
                </w:p>
                <w:p w14:paraId="2D62CFED" w14:textId="77777777" w:rsidR="00D3329A" w:rsidRPr="00B92975" w:rsidRDefault="00D3329A" w:rsidP="00D3329A">
                  <w:pPr>
                    <w:numPr>
                      <w:ilvl w:val="0"/>
                      <w:numId w:val="38"/>
                    </w:numPr>
                    <w:jc w:val="both"/>
                    <w:rPr>
                      <w:rFonts w:cs="Arial"/>
                    </w:rPr>
                  </w:pPr>
                  <w:r w:rsidRPr="00B92975">
                    <w:rPr>
                      <w:rFonts w:cs="Arial"/>
                      <w:lang w:val="mk-MK"/>
                    </w:rPr>
                    <w:lastRenderedPageBreak/>
                    <w:t>други активности.</w:t>
                  </w:r>
                </w:p>
                <w:p w14:paraId="42CF76C9" w14:textId="77777777" w:rsidR="00D3329A" w:rsidRPr="00B92975" w:rsidRDefault="00D3329A" w:rsidP="00D3329A">
                  <w:pPr>
                    <w:jc w:val="both"/>
                    <w:rPr>
                      <w:rFonts w:cs="Arial"/>
                    </w:rPr>
                  </w:pPr>
                </w:p>
                <w:p w14:paraId="2C0CE5FF" w14:textId="77777777" w:rsidR="00D3329A" w:rsidRPr="00B92975" w:rsidRDefault="00D3329A" w:rsidP="00D3329A">
                  <w:pPr>
                    <w:jc w:val="both"/>
                    <w:rPr>
                      <w:rFonts w:cs="Arial"/>
                      <w:lang w:val="mk-MK"/>
                    </w:rPr>
                  </w:pPr>
                  <w:r w:rsidRPr="00B92975">
                    <w:rPr>
                      <w:rFonts w:cs="Arial"/>
                      <w:lang w:val="mk-MK"/>
                    </w:rPr>
                    <w:t xml:space="preserve">Секторот за </w:t>
                  </w:r>
                  <w:r w:rsidRPr="00B92975">
                    <w:t xml:space="preserve"> </w:t>
                  </w:r>
                  <w:r w:rsidRPr="00B92975">
                    <w:rPr>
                      <w:rFonts w:cs="Arial"/>
                      <w:lang w:val="mk-MK"/>
                    </w:rPr>
                    <w:t xml:space="preserve">ризици, евалуација и контрола(СРЕК) е организациона единица одговорна за управување со ризик. Банката обезбеди независност и соодветна организација на </w:t>
                  </w:r>
                  <w:r w:rsidRPr="00B92975">
                    <w:rPr>
                      <w:rFonts w:cs="Arial"/>
                      <w:lang w:val="en-US"/>
                    </w:rPr>
                    <w:t>RECD</w:t>
                  </w:r>
                  <w:r w:rsidRPr="00B92975">
                    <w:rPr>
                      <w:rFonts w:cs="Arial"/>
                      <w:lang w:val="mk-MK"/>
                    </w:rPr>
                    <w:t xml:space="preserve">(СРЕК), што овозможува негово учество во донесување одлуки за управување со ризик, пристап до вработените и телата на Банката и добивање на сите потребни информации за ефективно исполнување на своите одговорности. Функцијата за управување со ризици ја вршат лица кои имаат адекватно знаење во областа на преземање и управување со ризици, како и знаење за производи и услуги што ги нуди Банката и пазарот на кои тие се нудат. </w:t>
                  </w:r>
                </w:p>
                <w:p w14:paraId="05E02D79" w14:textId="77777777" w:rsidR="00D3329A" w:rsidRPr="00B92975" w:rsidRDefault="00D3329A" w:rsidP="00D3329A">
                  <w:pPr>
                    <w:jc w:val="both"/>
                    <w:rPr>
                      <w:rFonts w:cs="Arial"/>
                    </w:rPr>
                  </w:pPr>
                </w:p>
                <w:p w14:paraId="043D3987" w14:textId="77777777" w:rsidR="00D3329A" w:rsidRPr="00B92975" w:rsidRDefault="00D3329A" w:rsidP="00D3329A">
                  <w:pPr>
                    <w:jc w:val="both"/>
                    <w:rPr>
                      <w:rFonts w:cs="Arial"/>
                      <w:bCs/>
                    </w:rPr>
                  </w:pPr>
                  <w:r w:rsidRPr="00B92975">
                    <w:rPr>
                      <w:rFonts w:cs="Arial"/>
                      <w:b/>
                      <w:lang w:val="mk-MK"/>
                    </w:rPr>
                    <w:t xml:space="preserve">СРЕК </w:t>
                  </w:r>
                  <w:r w:rsidRPr="00B92975">
                    <w:rPr>
                      <w:rFonts w:cs="Arial"/>
                      <w:bCs/>
                      <w:lang w:val="mk-MK"/>
                    </w:rPr>
                    <w:t>ги извршува следниве активности и процеси за управување со ризик</w:t>
                  </w:r>
                  <w:r w:rsidRPr="00B92975">
                    <w:rPr>
                      <w:rFonts w:cs="Arial"/>
                      <w:bCs/>
                    </w:rPr>
                    <w:t xml:space="preserve">: </w:t>
                  </w:r>
                </w:p>
                <w:p w14:paraId="3BD496DB"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идентификација, мерење или процена, контрола или ублажување и следење на сите ризици во рамките на нивната надлежност;</w:t>
                  </w:r>
                </w:p>
                <w:p w14:paraId="65AC2CD8"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имплементација на политики и интерни акти за идентификација, мерење или процена, контрола или ублажување и следење на ризиците;</w:t>
                  </w:r>
                </w:p>
                <w:p w14:paraId="194139C8"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редовно следење на интерните ограничувања, како и регулаторните и надзорните ограничувања на изложеност;</w:t>
                  </w:r>
                </w:p>
                <w:p w14:paraId="765262ED"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утврдување и редовна ревизија на профилот на ризик на Банката според капацитетот на ризик и апетитот на ризик;</w:t>
                  </w:r>
                </w:p>
                <w:p w14:paraId="51AA23EB"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утврдување на нивото на вкупниот интерен капитал за покривање на ризикот и интерната ликвидност;</w:t>
                  </w:r>
                </w:p>
                <w:p w14:paraId="0730D819"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разгледување на резултатите од извршеното стрес-тестирање;</w:t>
                  </w:r>
                </w:p>
                <w:p w14:paraId="77DEF5DE"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редовно известување до Надзорниот одбор, Одборот за управување со ризици, Одборот за ревизија и другите тела кои донесуваат одлуки за изложеноста на Банката на поедини ризици и за резултатите од извршеното стрес-тестирање;</w:t>
                  </w:r>
                </w:p>
                <w:p w14:paraId="3F8B4E18"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следење на усогласеноста на одлуките донесени од организационите единици одговорни за преземање на ризик со апетитот на ризик и известување до Надзорниот одбор, Управниот одбор и Одборот за управување со ризици;</w:t>
                  </w:r>
                </w:p>
                <w:p w14:paraId="5E3FBFB7"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следење на воспоставените квалитативни и квантитативни индикатори и нивните прагови;</w:t>
                  </w:r>
                </w:p>
                <w:p w14:paraId="4EAAB6E2"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следење на активаторите за рано предупредување;</w:t>
                  </w:r>
                </w:p>
                <w:p w14:paraId="0636C90F"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предлагање на мерки за подобрување на системот за управување со ризик;</w:t>
                  </w:r>
                </w:p>
                <w:p w14:paraId="7ECBE677" w14:textId="77777777" w:rsidR="00D3329A" w:rsidRPr="00B92975" w:rsidRDefault="00D3329A" w:rsidP="00D3329A">
                  <w:pPr>
                    <w:numPr>
                      <w:ilvl w:val="0"/>
                      <w:numId w:val="35"/>
                    </w:numPr>
                    <w:autoSpaceDE w:val="0"/>
                    <w:autoSpaceDN w:val="0"/>
                    <w:adjustRightInd w:val="0"/>
                    <w:contextualSpacing/>
                    <w:jc w:val="both"/>
                    <w:rPr>
                      <w:rFonts w:eastAsia="Calibri" w:cs="Arial"/>
                      <w:color w:val="000000"/>
                      <w:lang w:val="mk-MK" w:eastAsia="sr-Latn-BA"/>
                    </w:rPr>
                  </w:pPr>
                  <w:r w:rsidRPr="00B92975">
                    <w:rPr>
                      <w:rFonts w:eastAsia="Calibri" w:cs="Arial"/>
                      <w:color w:val="000000"/>
                      <w:lang w:val="mk-MK" w:eastAsia="sr-Latn-BA"/>
                    </w:rPr>
                    <w:t>независна проценка на причините за неусогласеност со политиките, процедурите или дефинираните интерни ограничувања, предлагање мерки за елиминирање на причините за неусогласеност и обезбедување, соодветно известување до одговорните лиза на организационите единици кои преземаат ризици, како и на Надзорниот одбор, Управниот одбор и Одборот за управување со ризици.</w:t>
                  </w:r>
                  <w:r w:rsidRPr="00B92975">
                    <w:rPr>
                      <w:rFonts w:ascii="Calibri" w:eastAsia="Calibri" w:hAnsi="Calibri" w:cs="Arial"/>
                      <w:color w:val="000000"/>
                      <w:sz w:val="22"/>
                      <w:szCs w:val="22"/>
                      <w:lang w:val="mk-MK" w:eastAsia="sr-Latn-BA"/>
                    </w:rPr>
                    <w:t xml:space="preserve"> </w:t>
                  </w:r>
                </w:p>
                <w:p w14:paraId="6F554EE6" w14:textId="77777777" w:rsidR="00D3329A" w:rsidRPr="00B92975" w:rsidRDefault="00D3329A" w:rsidP="00D3329A">
                  <w:pPr>
                    <w:jc w:val="both"/>
                    <w:rPr>
                      <w:rFonts w:cs="Arial"/>
                      <w:lang w:val="mk-MK"/>
                    </w:rPr>
                  </w:pPr>
                </w:p>
                <w:p w14:paraId="36C0CE82" w14:textId="77777777" w:rsidR="00D3329A" w:rsidRPr="00B92975" w:rsidRDefault="00D3329A" w:rsidP="00D3329A">
                  <w:pPr>
                    <w:jc w:val="both"/>
                    <w:rPr>
                      <w:rFonts w:cs="Arial"/>
                      <w:lang w:val="mk-MK"/>
                    </w:rPr>
                  </w:pPr>
                  <w:r w:rsidRPr="00B92975">
                    <w:rPr>
                      <w:rFonts w:cs="Arial"/>
                      <w:b/>
                      <w:bCs/>
                      <w:lang w:val="mk-MK"/>
                    </w:rPr>
                    <w:t xml:space="preserve">Секторот за внатрешна ревизија </w:t>
                  </w:r>
                  <w:r w:rsidRPr="00B92975">
                    <w:rPr>
                      <w:rFonts w:cs="Arial"/>
                      <w:lang w:val="mk-MK"/>
                    </w:rPr>
                    <w:t>има значајна улога во управувањето со ризиците. Секторот за внатрешна ревизија е независна организациона единица која директно поднесува извештаи до Надзорниот одбор и спроведува независни ревизии во Банката. Според Планот за ревизија, Внатрешна ревизија обезбедува независно мислење и совети до Надзорниот и Управниот одбор во врска со управувањето со организацијата, адекватноста и ефикасноста на системот за внатрешна контрола, функционирањето на системот за управување со ризици и сообразноста со важечкото законодавство и прописите, како и интерните регулативи за регулирање на работењето на областите што се предмет на ревизија.</w:t>
                  </w:r>
                </w:p>
                <w:p w14:paraId="1DBF1BEF" w14:textId="77777777" w:rsidR="00D3329A" w:rsidRPr="00B92975" w:rsidRDefault="00D3329A" w:rsidP="00D3329A">
                  <w:pPr>
                    <w:jc w:val="both"/>
                    <w:rPr>
                      <w:rFonts w:cs="Arial"/>
                      <w:lang w:val="mk-MK"/>
                    </w:rPr>
                  </w:pPr>
                </w:p>
                <w:p w14:paraId="479F56F9" w14:textId="1E5F9DA6" w:rsidR="00D3329A" w:rsidRPr="00B92975" w:rsidRDefault="00D3329A" w:rsidP="00D3329A">
                  <w:pPr>
                    <w:jc w:val="both"/>
                    <w:rPr>
                      <w:rFonts w:cs="Arial"/>
                      <w:lang w:val="en-US"/>
                    </w:rPr>
                  </w:pPr>
                  <w:r w:rsidRPr="00B92975">
                    <w:rPr>
                      <w:rFonts w:cs="Arial"/>
                      <w:lang w:val="mk-MK"/>
                    </w:rPr>
                    <w:t xml:space="preserve">Покрај тоа, функцијата на усогласеност има важна улога во усогласувањето и спроведувањето на контрола на ризикот. </w:t>
                  </w:r>
                  <w:r w:rsidR="00E00845">
                    <w:rPr>
                      <w:rFonts w:cs="Arial"/>
                      <w:b/>
                      <w:bCs/>
                      <w:lang w:val="mk-MK"/>
                    </w:rPr>
                    <w:t>Центарот</w:t>
                  </w:r>
                  <w:r w:rsidR="00E00845" w:rsidRPr="00B92975">
                    <w:rPr>
                      <w:rFonts w:cs="Arial"/>
                      <w:b/>
                      <w:bCs/>
                      <w:lang w:val="mk-MK"/>
                    </w:rPr>
                    <w:t xml:space="preserve"> за усогласување со прописите и </w:t>
                  </w:r>
                  <w:r w:rsidR="00E00845">
                    <w:rPr>
                      <w:rFonts w:cs="Arial"/>
                      <w:b/>
                      <w:bCs/>
                      <w:lang w:val="mk-MK"/>
                    </w:rPr>
                    <w:t>интегритет</w:t>
                  </w:r>
                  <w:r w:rsidR="00E00845" w:rsidRPr="00B92975">
                    <w:rPr>
                      <w:rFonts w:cs="Arial"/>
                      <w:lang w:val="mk-MK"/>
                    </w:rPr>
                    <w:t xml:space="preserve"> има за цел да спречи каква било намерна или ненамерна неусогласеност со важечкото законодавство, стандарди, кодекси и интерни правила. Покрај тоа, </w:t>
                  </w:r>
                  <w:r w:rsidR="00E00845">
                    <w:rPr>
                      <w:rFonts w:cs="Arial"/>
                      <w:lang w:val="mk-MK"/>
                    </w:rPr>
                    <w:t>Центарот</w:t>
                  </w:r>
                  <w:r w:rsidR="00E00845" w:rsidRPr="00B92975">
                    <w:rPr>
                      <w:rFonts w:cs="Arial"/>
                      <w:lang w:val="mk-MK"/>
                    </w:rPr>
                    <w:t xml:space="preserve"> за усогласување со прописите и </w:t>
                  </w:r>
                  <w:r w:rsidR="00E00845">
                    <w:rPr>
                      <w:rFonts w:cs="Arial"/>
                      <w:lang w:val="mk-MK"/>
                    </w:rPr>
                    <w:t>интегритет</w:t>
                  </w:r>
                  <w:r w:rsidR="00E00845" w:rsidRPr="00B92975">
                    <w:rPr>
                      <w:rFonts w:cs="Arial"/>
                      <w:lang w:val="mk-MK"/>
                    </w:rPr>
                    <w:t xml:space="preserve"> обезбедува гаранција за законитост при работењето, преку независно следење, контрола, проценка и известување за изложеноста на Банката на ризици кои произлегуваат од неусогласеност со законските регулативи, ризици кои се должат на перење пари (спречување на перење на пари) и сообразност со прописите за информативна сигурност и заштита на лични податоци. </w:t>
                  </w:r>
                  <w:r w:rsidRPr="00B92975">
                    <w:rPr>
                      <w:rFonts w:cs="Arial"/>
                      <w:lang w:val="mk-MK"/>
                    </w:rPr>
                    <w:t xml:space="preserve"> Службата за </w:t>
                  </w:r>
                  <w:r w:rsidRPr="00B92975">
                    <w:rPr>
                      <w:rFonts w:cs="Arial"/>
                      <w:lang w:val="mk-MK"/>
                    </w:rPr>
                    <w:lastRenderedPageBreak/>
                    <w:t>усогласување со прописите и информативна сигурност е одговорна за Планот на континуитет на работењето на Банката.</w:t>
                  </w:r>
                </w:p>
                <w:p w14:paraId="46D85C4F" w14:textId="77777777" w:rsidR="00D3329A" w:rsidRPr="00B92975" w:rsidRDefault="00D3329A" w:rsidP="00D3329A">
                  <w:pPr>
                    <w:autoSpaceDE w:val="0"/>
                    <w:autoSpaceDN w:val="0"/>
                    <w:adjustRightInd w:val="0"/>
                    <w:jc w:val="both"/>
                    <w:rPr>
                      <w:lang w:val="mk-MK"/>
                    </w:rPr>
                  </w:pPr>
                </w:p>
                <w:p w14:paraId="755A11F8" w14:textId="77777777" w:rsidR="00D3329A" w:rsidRPr="00B92975" w:rsidRDefault="00D3329A" w:rsidP="00D3329A">
                  <w:pPr>
                    <w:autoSpaceDE w:val="0"/>
                    <w:autoSpaceDN w:val="0"/>
                    <w:adjustRightInd w:val="0"/>
                    <w:jc w:val="both"/>
                    <w:rPr>
                      <w:lang w:val="mk-MK"/>
                    </w:rPr>
                  </w:pPr>
                </w:p>
                <w:p w14:paraId="1B705E0B" w14:textId="77777777" w:rsidR="00D3329A" w:rsidRPr="00B92975" w:rsidRDefault="00D3329A" w:rsidP="00D3329A">
                  <w:pPr>
                    <w:jc w:val="both"/>
                    <w:rPr>
                      <w:rFonts w:cs="Arial"/>
                      <w:lang w:val="mk-MK"/>
                    </w:rPr>
                  </w:pPr>
                </w:p>
                <w:p w14:paraId="40D484B8" w14:textId="77777777" w:rsidR="00D3329A" w:rsidRPr="00B92975" w:rsidRDefault="00D3329A" w:rsidP="00D3329A">
                  <w:pPr>
                    <w:jc w:val="both"/>
                    <w:rPr>
                      <w:rFonts w:cs="Arial"/>
                      <w:lang w:val="en-GB"/>
                    </w:rPr>
                  </w:pPr>
                </w:p>
                <w:p w14:paraId="33F44D94" w14:textId="77777777" w:rsidR="00D3329A" w:rsidRPr="00B92975" w:rsidRDefault="00D3329A" w:rsidP="00D3329A">
                  <w:pPr>
                    <w:pStyle w:val="Heading2"/>
                    <w:tabs>
                      <w:tab w:val="left" w:pos="478"/>
                    </w:tabs>
                    <w:spacing w:after="0"/>
                    <w:ind w:right="113"/>
                    <w:jc w:val="both"/>
                    <w:rPr>
                      <w:b w:val="0"/>
                      <w:sz w:val="24"/>
                      <w:szCs w:val="24"/>
                      <w:u w:val="single"/>
                      <w:lang w:val="mk-MK"/>
                    </w:rPr>
                  </w:pPr>
                  <w:r w:rsidRPr="00B92975">
                    <w:rPr>
                      <w:b w:val="0"/>
                      <w:sz w:val="24"/>
                      <w:szCs w:val="24"/>
                      <w:u w:val="single"/>
                    </w:rPr>
                    <w:t>Дефиниција на поединечни</w:t>
                  </w:r>
                  <w:r w:rsidRPr="00B92975">
                    <w:rPr>
                      <w:b w:val="0"/>
                      <w:sz w:val="24"/>
                      <w:szCs w:val="24"/>
                      <w:u w:val="single"/>
                      <w:lang w:val="mk-MK"/>
                    </w:rPr>
                    <w:t>те</w:t>
                  </w:r>
                  <w:r w:rsidRPr="00B92975">
                    <w:rPr>
                      <w:b w:val="0"/>
                      <w:sz w:val="24"/>
                      <w:szCs w:val="24"/>
                      <w:u w:val="single"/>
                    </w:rPr>
                    <w:t xml:space="preserve"> ризици</w:t>
                  </w:r>
                  <w:r w:rsidRPr="00B92975">
                    <w:rPr>
                      <w:b w:val="0"/>
                      <w:sz w:val="24"/>
                      <w:szCs w:val="24"/>
                      <w:u w:val="single"/>
                      <w:lang w:val="mk-MK"/>
                    </w:rPr>
                    <w:t>:</w:t>
                  </w:r>
                </w:p>
                <w:p w14:paraId="3E50EC39" w14:textId="77777777" w:rsidR="00D3329A" w:rsidRPr="00B92975" w:rsidRDefault="00D3329A" w:rsidP="00D3329A">
                  <w:pPr>
                    <w:rPr>
                      <w:rFonts w:eastAsia="Arial"/>
                      <w:lang w:val="mk-MK"/>
                    </w:rPr>
                  </w:pPr>
                </w:p>
                <w:p w14:paraId="41832F28" w14:textId="77777777" w:rsidR="00D3329A" w:rsidRPr="00B92975" w:rsidRDefault="00D3329A" w:rsidP="00D3329A">
                  <w:pPr>
                    <w:autoSpaceDE w:val="0"/>
                    <w:autoSpaceDN w:val="0"/>
                    <w:adjustRightInd w:val="0"/>
                    <w:jc w:val="both"/>
                    <w:rPr>
                      <w:rFonts w:cs="Arial"/>
                      <w:b/>
                      <w:bCs/>
                      <w:lang w:val="mk-MK"/>
                    </w:rPr>
                  </w:pPr>
                  <w:r w:rsidRPr="00B92975">
                    <w:rPr>
                      <w:rFonts w:cs="Arial"/>
                    </w:rPr>
                    <w:t xml:space="preserve">Банката ги распоредува ризиците во </w:t>
                  </w:r>
                  <w:r w:rsidRPr="00B92975">
                    <w:rPr>
                      <w:rFonts w:cs="Arial"/>
                      <w:b/>
                    </w:rPr>
                    <w:t xml:space="preserve">6 основни ризични категории, </w:t>
                  </w:r>
                  <w:r w:rsidRPr="00B92975">
                    <w:rPr>
                      <w:rFonts w:cs="Arial"/>
                    </w:rPr>
                    <w:t xml:space="preserve">поделени во подкатегории, </w:t>
                  </w:r>
                  <w:r w:rsidRPr="00B92975">
                    <w:rPr>
                      <w:rStyle w:val="hps"/>
                      <w:rFonts w:cs="Arial"/>
                    </w:rPr>
                    <w:t>со цел да се идентификува/анализира секоја категорија на ризик со соодветна деталност.</w:t>
                  </w:r>
                  <w:r w:rsidRPr="00B92975">
                    <w:rPr>
                      <w:rFonts w:cs="Arial"/>
                    </w:rPr>
                    <w:t xml:space="preserve"> Основни ризични категории се: </w:t>
                  </w:r>
                  <w:r w:rsidRPr="00B92975">
                    <w:rPr>
                      <w:rFonts w:cs="Arial"/>
                      <w:b/>
                      <w:u w:val="single"/>
                    </w:rPr>
                    <w:t>кредитен ризик, каматен ризик,</w:t>
                  </w:r>
                  <w:r w:rsidRPr="00B92975">
                    <w:rPr>
                      <w:rFonts w:cs="Arial"/>
                      <w:b/>
                      <w:u w:val="single"/>
                      <w:lang w:val="mk-MK"/>
                    </w:rPr>
                    <w:t xml:space="preserve"> </w:t>
                  </w:r>
                  <w:r w:rsidRPr="00B92975">
                    <w:rPr>
                      <w:rFonts w:cs="Arial"/>
                      <w:b/>
                      <w:u w:val="single"/>
                    </w:rPr>
                    <w:t xml:space="preserve">пазарен ризик,  ликвидносен ризик, оперативен ризик и </w:t>
                  </w:r>
                  <w:r w:rsidRPr="00B92975">
                    <w:rPr>
                      <w:rFonts w:cs="Arial"/>
                      <w:b/>
                      <w:u w:val="single"/>
                      <w:lang w:val="mk-MK"/>
                    </w:rPr>
                    <w:t>останати</w:t>
                  </w:r>
                  <w:r w:rsidRPr="00B92975">
                    <w:rPr>
                      <w:rFonts w:cs="Arial"/>
                      <w:b/>
                      <w:u w:val="single"/>
                    </w:rPr>
                    <w:t xml:space="preserve"> ризици:</w:t>
                  </w:r>
                </w:p>
                <w:p w14:paraId="60B4F350" w14:textId="77777777" w:rsidR="00D3329A" w:rsidRPr="00B92975" w:rsidRDefault="00D3329A" w:rsidP="00D3329A">
                  <w:pPr>
                    <w:jc w:val="both"/>
                    <w:rPr>
                      <w:rFonts w:cs="Arial"/>
                      <w:lang w:val="mk-MK"/>
                    </w:rPr>
                  </w:pPr>
                </w:p>
                <w:tbl>
                  <w:tblPr>
                    <w:tblStyle w:val="TableGrid"/>
                    <w:tblW w:w="8651" w:type="dxa"/>
                    <w:tblLayout w:type="fixed"/>
                    <w:tblLook w:val="04A0" w:firstRow="1" w:lastRow="0" w:firstColumn="1" w:lastColumn="0" w:noHBand="0" w:noVBand="1"/>
                  </w:tblPr>
                  <w:tblGrid>
                    <w:gridCol w:w="1563"/>
                    <w:gridCol w:w="1985"/>
                    <w:gridCol w:w="5103"/>
                  </w:tblGrid>
                  <w:tr w:rsidR="00D3329A" w:rsidRPr="00B92975" w14:paraId="20B4DD86" w14:textId="77777777" w:rsidTr="00BF05D1">
                    <w:trPr>
                      <w:trHeight w:val="70"/>
                    </w:trPr>
                    <w:tc>
                      <w:tcPr>
                        <w:tcW w:w="1563" w:type="dxa"/>
                        <w:shd w:val="pct12" w:color="auto" w:fill="auto"/>
                      </w:tcPr>
                      <w:p w14:paraId="18E71F7A" w14:textId="77777777" w:rsidR="00D3329A" w:rsidRPr="00B92975" w:rsidRDefault="00D3329A" w:rsidP="00D3329A">
                        <w:pPr>
                          <w:rPr>
                            <w:rFonts w:cs="Arial"/>
                            <w:b/>
                            <w:sz w:val="18"/>
                            <w:szCs w:val="18"/>
                            <w:lang w:val="mk-MK"/>
                          </w:rPr>
                        </w:pPr>
                        <w:r w:rsidRPr="00B92975">
                          <w:rPr>
                            <w:rFonts w:cs="Arial"/>
                            <w:b/>
                            <w:sz w:val="18"/>
                            <w:szCs w:val="18"/>
                            <w:lang w:val="mk-MK"/>
                          </w:rPr>
                          <w:t>Категорија на ризик</w:t>
                        </w:r>
                      </w:p>
                    </w:tc>
                    <w:tc>
                      <w:tcPr>
                        <w:tcW w:w="1985" w:type="dxa"/>
                        <w:shd w:val="pct12" w:color="auto" w:fill="auto"/>
                      </w:tcPr>
                      <w:p w14:paraId="75AF55DF" w14:textId="77777777" w:rsidR="00D3329A" w:rsidRPr="00B92975" w:rsidRDefault="00D3329A" w:rsidP="00D3329A">
                        <w:pPr>
                          <w:rPr>
                            <w:rFonts w:cs="Arial"/>
                            <w:b/>
                            <w:sz w:val="18"/>
                            <w:szCs w:val="18"/>
                            <w:lang w:val="mk-MK"/>
                          </w:rPr>
                        </w:pPr>
                        <w:r w:rsidRPr="00B92975">
                          <w:rPr>
                            <w:rFonts w:cs="Arial"/>
                            <w:b/>
                            <w:sz w:val="18"/>
                            <w:szCs w:val="18"/>
                            <w:lang w:val="mk-MK"/>
                          </w:rPr>
                          <w:t>Под-категорија на ризик</w:t>
                        </w:r>
                      </w:p>
                    </w:tc>
                    <w:tc>
                      <w:tcPr>
                        <w:tcW w:w="5103" w:type="dxa"/>
                        <w:shd w:val="pct12" w:color="auto" w:fill="auto"/>
                      </w:tcPr>
                      <w:p w14:paraId="627E41F2" w14:textId="77777777" w:rsidR="00D3329A" w:rsidRPr="00B92975" w:rsidRDefault="00D3329A" w:rsidP="00D3329A">
                        <w:pPr>
                          <w:rPr>
                            <w:rFonts w:cs="Arial"/>
                            <w:b/>
                            <w:sz w:val="18"/>
                            <w:szCs w:val="18"/>
                            <w:lang w:val="mk-MK"/>
                          </w:rPr>
                        </w:pPr>
                        <w:r w:rsidRPr="00B92975">
                          <w:rPr>
                            <w:rFonts w:cs="Arial"/>
                            <w:b/>
                            <w:sz w:val="18"/>
                            <w:szCs w:val="18"/>
                            <w:lang w:val="mk-MK"/>
                          </w:rPr>
                          <w:t>Дефиниција</w:t>
                        </w:r>
                      </w:p>
                    </w:tc>
                  </w:tr>
                  <w:tr w:rsidR="00D3329A" w:rsidRPr="00B92975" w14:paraId="0759DA46" w14:textId="77777777" w:rsidTr="00BF05D1">
                    <w:trPr>
                      <w:trHeight w:val="70"/>
                    </w:trPr>
                    <w:tc>
                      <w:tcPr>
                        <w:tcW w:w="1563" w:type="dxa"/>
                        <w:vMerge w:val="restart"/>
                      </w:tcPr>
                      <w:p w14:paraId="55A313C7" w14:textId="77777777" w:rsidR="00D3329A" w:rsidRPr="00B92975" w:rsidRDefault="00D3329A" w:rsidP="00D3329A">
                        <w:pPr>
                          <w:rPr>
                            <w:rFonts w:cs="Arial"/>
                            <w:b/>
                            <w:sz w:val="18"/>
                            <w:szCs w:val="18"/>
                            <w:lang w:val="mk-MK"/>
                          </w:rPr>
                        </w:pPr>
                        <w:r w:rsidRPr="00B92975">
                          <w:rPr>
                            <w:rFonts w:cs="Arial"/>
                            <w:b/>
                            <w:sz w:val="18"/>
                            <w:szCs w:val="18"/>
                            <w:lang w:val="mk-MK"/>
                          </w:rPr>
                          <w:t>Кредитен ризик</w:t>
                        </w:r>
                      </w:p>
                    </w:tc>
                    <w:tc>
                      <w:tcPr>
                        <w:tcW w:w="1985" w:type="dxa"/>
                      </w:tcPr>
                      <w:p w14:paraId="6C3A98AD" w14:textId="77777777" w:rsidR="00D3329A" w:rsidRPr="00B92975" w:rsidRDefault="00D3329A" w:rsidP="00D3329A">
                        <w:pPr>
                          <w:rPr>
                            <w:rFonts w:cs="Arial"/>
                            <w:sz w:val="18"/>
                            <w:szCs w:val="18"/>
                            <w:lang w:val="mk-MK"/>
                          </w:rPr>
                        </w:pPr>
                        <w:r w:rsidRPr="00B92975">
                          <w:rPr>
                            <w:rFonts w:cs="Arial"/>
                            <w:sz w:val="18"/>
                            <w:szCs w:val="18"/>
                            <w:lang w:val="mk-MK"/>
                          </w:rPr>
                          <w:t>Ризик од неисполнување на обврски</w:t>
                        </w:r>
                      </w:p>
                    </w:tc>
                    <w:tc>
                      <w:tcPr>
                        <w:tcW w:w="5103" w:type="dxa"/>
                      </w:tcPr>
                      <w:p w14:paraId="1F000775" w14:textId="77777777" w:rsidR="00D3329A" w:rsidRPr="00B92975" w:rsidRDefault="00D3329A" w:rsidP="00D3329A">
                        <w:pPr>
                          <w:autoSpaceDE w:val="0"/>
                          <w:autoSpaceDN w:val="0"/>
                          <w:adjustRightInd w:val="0"/>
                          <w:jc w:val="both"/>
                          <w:rPr>
                            <w:rFonts w:cs="Arial"/>
                            <w:sz w:val="18"/>
                            <w:szCs w:val="18"/>
                            <w:lang w:val="mk-MK"/>
                          </w:rPr>
                        </w:pPr>
                        <w:r w:rsidRPr="00B92975">
                          <w:rPr>
                            <w:rFonts w:cs="Arial"/>
                            <w:sz w:val="18"/>
                            <w:szCs w:val="18"/>
                            <w:lang w:val="mk-MK"/>
                          </w:rPr>
                          <w:t>Ризик дека заемопримачот нема да ги плати своите обврски; жирант нема да ја испочитува неговата гаранција.</w:t>
                        </w:r>
                      </w:p>
                      <w:p w14:paraId="5F2AC87A" w14:textId="77777777" w:rsidR="00D3329A" w:rsidRPr="00B92975" w:rsidRDefault="00D3329A" w:rsidP="00D3329A">
                        <w:pPr>
                          <w:autoSpaceDE w:val="0"/>
                          <w:autoSpaceDN w:val="0"/>
                          <w:adjustRightInd w:val="0"/>
                          <w:jc w:val="both"/>
                          <w:rPr>
                            <w:rFonts w:cs="Arial"/>
                            <w:sz w:val="10"/>
                            <w:szCs w:val="10"/>
                            <w:lang w:val="en-GB"/>
                          </w:rPr>
                        </w:pPr>
                      </w:p>
                    </w:tc>
                  </w:tr>
                  <w:tr w:rsidR="00D3329A" w:rsidRPr="00B92975" w14:paraId="03ADB982" w14:textId="77777777" w:rsidTr="00BF05D1">
                    <w:trPr>
                      <w:trHeight w:val="70"/>
                    </w:trPr>
                    <w:tc>
                      <w:tcPr>
                        <w:tcW w:w="1563" w:type="dxa"/>
                        <w:vMerge/>
                      </w:tcPr>
                      <w:p w14:paraId="1D175CC4" w14:textId="77777777" w:rsidR="00D3329A" w:rsidRPr="00B92975" w:rsidRDefault="00D3329A" w:rsidP="00D3329A">
                        <w:pPr>
                          <w:rPr>
                            <w:rFonts w:cs="Arial"/>
                            <w:b/>
                            <w:sz w:val="18"/>
                            <w:szCs w:val="18"/>
                            <w:lang w:val="mk-MK"/>
                          </w:rPr>
                        </w:pPr>
                      </w:p>
                    </w:tc>
                    <w:tc>
                      <w:tcPr>
                        <w:tcW w:w="1985" w:type="dxa"/>
                      </w:tcPr>
                      <w:p w14:paraId="244E7A8F" w14:textId="77777777" w:rsidR="00D3329A" w:rsidRPr="00B92975" w:rsidRDefault="00D3329A" w:rsidP="00D3329A">
                        <w:pPr>
                          <w:rPr>
                            <w:rFonts w:cs="Arial"/>
                            <w:sz w:val="18"/>
                            <w:szCs w:val="18"/>
                            <w:lang w:val="mk-MK"/>
                          </w:rPr>
                        </w:pPr>
                        <w:r w:rsidRPr="00B92975">
                          <w:rPr>
                            <w:rFonts w:cs="Arial"/>
                            <w:sz w:val="18"/>
                            <w:szCs w:val="18"/>
                            <w:lang w:val="mk-MK"/>
                          </w:rPr>
                          <w:t>Миграциски ризик</w:t>
                        </w:r>
                      </w:p>
                    </w:tc>
                    <w:tc>
                      <w:tcPr>
                        <w:tcW w:w="5103" w:type="dxa"/>
                      </w:tcPr>
                      <w:p w14:paraId="71C091FE" w14:textId="77777777" w:rsidR="00D3329A" w:rsidRPr="00B92975" w:rsidRDefault="00D3329A" w:rsidP="00D3329A">
                        <w:pPr>
                          <w:autoSpaceDE w:val="0"/>
                          <w:autoSpaceDN w:val="0"/>
                          <w:adjustRightInd w:val="0"/>
                          <w:jc w:val="both"/>
                          <w:rPr>
                            <w:rFonts w:cs="Arial"/>
                            <w:sz w:val="18"/>
                            <w:szCs w:val="18"/>
                            <w:lang w:val="mk-MK"/>
                          </w:rPr>
                        </w:pPr>
                        <w:r w:rsidRPr="00B92975">
                          <w:rPr>
                            <w:rFonts w:cs="Arial"/>
                            <w:sz w:val="18"/>
                            <w:szCs w:val="18"/>
                            <w:lang w:val="mk-MK"/>
                          </w:rPr>
                          <w:t>Ризик од влошување на кредитниот рејтинг.</w:t>
                        </w:r>
                      </w:p>
                    </w:tc>
                  </w:tr>
                  <w:tr w:rsidR="00D3329A" w:rsidRPr="00B92975" w14:paraId="2F5BCBA6" w14:textId="77777777" w:rsidTr="00BF05D1">
                    <w:trPr>
                      <w:trHeight w:val="70"/>
                    </w:trPr>
                    <w:tc>
                      <w:tcPr>
                        <w:tcW w:w="1563" w:type="dxa"/>
                        <w:vMerge/>
                      </w:tcPr>
                      <w:p w14:paraId="3AB269FF" w14:textId="77777777" w:rsidR="00D3329A" w:rsidRPr="00B92975" w:rsidRDefault="00D3329A" w:rsidP="00D3329A">
                        <w:pPr>
                          <w:rPr>
                            <w:rFonts w:cs="Arial"/>
                            <w:b/>
                            <w:sz w:val="18"/>
                            <w:szCs w:val="18"/>
                            <w:lang w:val="mk-MK"/>
                          </w:rPr>
                        </w:pPr>
                      </w:p>
                    </w:tc>
                    <w:tc>
                      <w:tcPr>
                        <w:tcW w:w="1985" w:type="dxa"/>
                      </w:tcPr>
                      <w:p w14:paraId="69993732" w14:textId="77777777" w:rsidR="00D3329A" w:rsidRPr="00B92975" w:rsidRDefault="00D3329A" w:rsidP="00D3329A">
                        <w:pPr>
                          <w:rPr>
                            <w:rFonts w:cs="Arial"/>
                            <w:sz w:val="18"/>
                            <w:szCs w:val="18"/>
                            <w:lang w:val="mk-MK"/>
                          </w:rPr>
                        </w:pPr>
                        <w:r w:rsidRPr="00B92975">
                          <w:rPr>
                            <w:rFonts w:cs="Arial"/>
                            <w:sz w:val="18"/>
                            <w:szCs w:val="18"/>
                            <w:lang w:val="mk-MK"/>
                          </w:rPr>
                          <w:t>Ризик од концентрација (индустрија)</w:t>
                        </w:r>
                      </w:p>
                    </w:tc>
                    <w:tc>
                      <w:tcPr>
                        <w:tcW w:w="5103" w:type="dxa"/>
                      </w:tcPr>
                      <w:p w14:paraId="35E77805" w14:textId="77777777" w:rsidR="00D3329A" w:rsidRPr="00B92975" w:rsidRDefault="00D3329A" w:rsidP="00D3329A">
                        <w:pPr>
                          <w:autoSpaceDE w:val="0"/>
                          <w:autoSpaceDN w:val="0"/>
                          <w:adjustRightInd w:val="0"/>
                          <w:jc w:val="both"/>
                          <w:rPr>
                            <w:rFonts w:cs="Arial"/>
                            <w:sz w:val="18"/>
                            <w:szCs w:val="18"/>
                            <w:lang w:val="mk-MK"/>
                          </w:rPr>
                        </w:pPr>
                        <w:r w:rsidRPr="00B92975">
                          <w:rPr>
                            <w:rFonts w:cs="Arial"/>
                            <w:sz w:val="18"/>
                            <w:szCs w:val="18"/>
                            <w:lang w:val="mk-MK"/>
                          </w:rPr>
                          <w:t>Ризик од загуби поради концентрација на заеми кон поединечни клиенти или договорни страни, група на поврзани договорни страни и сектори или индустрии.</w:t>
                        </w:r>
                      </w:p>
                      <w:p w14:paraId="0BF41F27" w14:textId="77777777" w:rsidR="00D3329A" w:rsidRPr="00B92975" w:rsidRDefault="00D3329A" w:rsidP="00D3329A">
                        <w:pPr>
                          <w:autoSpaceDE w:val="0"/>
                          <w:autoSpaceDN w:val="0"/>
                          <w:adjustRightInd w:val="0"/>
                          <w:jc w:val="both"/>
                          <w:rPr>
                            <w:rFonts w:cs="Arial"/>
                            <w:sz w:val="10"/>
                            <w:szCs w:val="10"/>
                            <w:lang w:val="en-GB"/>
                          </w:rPr>
                        </w:pPr>
                      </w:p>
                    </w:tc>
                  </w:tr>
                  <w:tr w:rsidR="00D3329A" w:rsidRPr="00B92975" w14:paraId="18904544" w14:textId="77777777" w:rsidTr="00BF05D1">
                    <w:trPr>
                      <w:trHeight w:val="70"/>
                    </w:trPr>
                    <w:tc>
                      <w:tcPr>
                        <w:tcW w:w="1563" w:type="dxa"/>
                        <w:vMerge/>
                      </w:tcPr>
                      <w:p w14:paraId="6FA066C9" w14:textId="77777777" w:rsidR="00D3329A" w:rsidRPr="00B92975" w:rsidRDefault="00D3329A" w:rsidP="00D3329A">
                        <w:pPr>
                          <w:rPr>
                            <w:rFonts w:cs="Arial"/>
                            <w:b/>
                            <w:sz w:val="18"/>
                            <w:szCs w:val="18"/>
                            <w:lang w:val="mk-MK"/>
                          </w:rPr>
                        </w:pPr>
                      </w:p>
                    </w:tc>
                    <w:tc>
                      <w:tcPr>
                        <w:tcW w:w="1985" w:type="dxa"/>
                      </w:tcPr>
                      <w:p w14:paraId="779411CC" w14:textId="77777777" w:rsidR="00D3329A" w:rsidRPr="00B92975" w:rsidRDefault="00D3329A" w:rsidP="00D3329A">
                        <w:pPr>
                          <w:rPr>
                            <w:rFonts w:cs="Arial"/>
                            <w:sz w:val="18"/>
                            <w:szCs w:val="18"/>
                            <w:lang w:val="mk-MK"/>
                          </w:rPr>
                        </w:pPr>
                        <w:r w:rsidRPr="00B92975">
                          <w:rPr>
                            <w:rFonts w:cs="Arial"/>
                            <w:sz w:val="18"/>
                            <w:szCs w:val="18"/>
                            <w:lang w:val="mk-MK"/>
                          </w:rPr>
                          <w:t>Ризик од концентрација (клиент)</w:t>
                        </w:r>
                      </w:p>
                    </w:tc>
                    <w:tc>
                      <w:tcPr>
                        <w:tcW w:w="5103" w:type="dxa"/>
                      </w:tcPr>
                      <w:p w14:paraId="067BA4CA" w14:textId="77777777" w:rsidR="00D3329A" w:rsidRPr="00B92975" w:rsidRDefault="00D3329A" w:rsidP="00D3329A">
                        <w:pPr>
                          <w:autoSpaceDE w:val="0"/>
                          <w:autoSpaceDN w:val="0"/>
                          <w:adjustRightInd w:val="0"/>
                          <w:jc w:val="both"/>
                          <w:rPr>
                            <w:rFonts w:cs="Arial"/>
                            <w:sz w:val="18"/>
                            <w:szCs w:val="18"/>
                            <w:lang w:val="mk-MK"/>
                          </w:rPr>
                        </w:pPr>
                        <w:r w:rsidRPr="00B92975">
                          <w:rPr>
                            <w:rFonts w:cs="Arial"/>
                            <w:sz w:val="18"/>
                            <w:szCs w:val="18"/>
                            <w:lang w:val="mk-MK"/>
                          </w:rPr>
                          <w:t>Ризик од загуби поради концентрација на заеми кон поединечни клиенти или договорни страни, група на поврзани договорни страни и сектори или индустрии.</w:t>
                        </w:r>
                      </w:p>
                      <w:p w14:paraId="506D9F97" w14:textId="77777777" w:rsidR="00D3329A" w:rsidRPr="00B92975" w:rsidRDefault="00D3329A" w:rsidP="00D3329A">
                        <w:pPr>
                          <w:autoSpaceDE w:val="0"/>
                          <w:autoSpaceDN w:val="0"/>
                          <w:adjustRightInd w:val="0"/>
                          <w:jc w:val="both"/>
                          <w:rPr>
                            <w:rFonts w:cs="Arial"/>
                            <w:sz w:val="10"/>
                            <w:szCs w:val="10"/>
                            <w:lang w:val="en-GB"/>
                          </w:rPr>
                        </w:pPr>
                      </w:p>
                    </w:tc>
                  </w:tr>
                  <w:tr w:rsidR="00D3329A" w:rsidRPr="00B92975" w14:paraId="13A40308" w14:textId="77777777" w:rsidTr="00BF05D1">
                    <w:trPr>
                      <w:trHeight w:val="70"/>
                    </w:trPr>
                    <w:tc>
                      <w:tcPr>
                        <w:tcW w:w="1563" w:type="dxa"/>
                        <w:vMerge/>
                      </w:tcPr>
                      <w:p w14:paraId="71BDFA45" w14:textId="77777777" w:rsidR="00D3329A" w:rsidRPr="00B92975" w:rsidRDefault="00D3329A" w:rsidP="00D3329A">
                        <w:pPr>
                          <w:rPr>
                            <w:rFonts w:cs="Arial"/>
                            <w:b/>
                            <w:sz w:val="18"/>
                            <w:szCs w:val="18"/>
                            <w:lang w:val="mk-MK"/>
                          </w:rPr>
                        </w:pPr>
                      </w:p>
                    </w:tc>
                    <w:tc>
                      <w:tcPr>
                        <w:tcW w:w="1985" w:type="dxa"/>
                      </w:tcPr>
                      <w:p w14:paraId="20372E97" w14:textId="77777777" w:rsidR="00D3329A" w:rsidRPr="00B92975" w:rsidRDefault="00D3329A" w:rsidP="00D3329A">
                        <w:pPr>
                          <w:rPr>
                            <w:rFonts w:cs="Arial"/>
                            <w:sz w:val="18"/>
                            <w:szCs w:val="18"/>
                            <w:lang w:val="en-GB"/>
                          </w:rPr>
                        </w:pPr>
                        <w:r w:rsidRPr="00B92975">
                          <w:rPr>
                            <w:rFonts w:cs="Arial"/>
                            <w:sz w:val="18"/>
                            <w:szCs w:val="18"/>
                            <w:lang w:val="mk-MK"/>
                          </w:rPr>
                          <w:t>Ризик на обезбедување - цена</w:t>
                        </w:r>
                      </w:p>
                    </w:tc>
                    <w:tc>
                      <w:tcPr>
                        <w:tcW w:w="5103" w:type="dxa"/>
                      </w:tcPr>
                      <w:p w14:paraId="000324B6"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загуби поради намалување на вредноста на обезбедувањето.</w:t>
                        </w:r>
                      </w:p>
                    </w:tc>
                  </w:tr>
                  <w:tr w:rsidR="00D3329A" w:rsidRPr="00B92975" w14:paraId="1BB3AE65" w14:textId="77777777" w:rsidTr="00BF05D1">
                    <w:trPr>
                      <w:trHeight w:val="70"/>
                    </w:trPr>
                    <w:tc>
                      <w:tcPr>
                        <w:tcW w:w="1563" w:type="dxa"/>
                        <w:vMerge/>
                      </w:tcPr>
                      <w:p w14:paraId="16150421" w14:textId="77777777" w:rsidR="00D3329A" w:rsidRPr="00B92975" w:rsidRDefault="00D3329A" w:rsidP="00D3329A">
                        <w:pPr>
                          <w:rPr>
                            <w:rFonts w:cs="Arial"/>
                            <w:b/>
                            <w:sz w:val="18"/>
                            <w:szCs w:val="18"/>
                            <w:lang w:val="mk-MK"/>
                          </w:rPr>
                        </w:pPr>
                      </w:p>
                    </w:tc>
                    <w:tc>
                      <w:tcPr>
                        <w:tcW w:w="1985" w:type="dxa"/>
                      </w:tcPr>
                      <w:p w14:paraId="3F4C2C75" w14:textId="77777777" w:rsidR="00D3329A" w:rsidRPr="00B92975" w:rsidRDefault="00D3329A" w:rsidP="00D3329A">
                        <w:pPr>
                          <w:rPr>
                            <w:rFonts w:cs="Arial"/>
                            <w:sz w:val="18"/>
                            <w:szCs w:val="18"/>
                            <w:lang w:val="mk-MK"/>
                          </w:rPr>
                        </w:pPr>
                        <w:r w:rsidRPr="00B92975">
                          <w:rPr>
                            <w:rFonts w:cs="Arial"/>
                            <w:sz w:val="18"/>
                            <w:szCs w:val="18"/>
                            <w:lang w:val="mk-MK"/>
                          </w:rPr>
                          <w:t>Ризик од кредитирање во странска валута</w:t>
                        </w:r>
                      </w:p>
                    </w:tc>
                    <w:tc>
                      <w:tcPr>
                        <w:tcW w:w="5103" w:type="dxa"/>
                      </w:tcPr>
                      <w:p w14:paraId="68526B1E" w14:textId="77777777" w:rsidR="00D3329A" w:rsidRPr="00B92975" w:rsidRDefault="00D3329A" w:rsidP="00D3329A">
                        <w:pPr>
                          <w:jc w:val="both"/>
                          <w:rPr>
                            <w:rFonts w:cs="Arial"/>
                            <w:sz w:val="18"/>
                            <w:szCs w:val="18"/>
                            <w:lang w:val="en-GB"/>
                          </w:rPr>
                        </w:pPr>
                        <w:r w:rsidRPr="00B92975">
                          <w:rPr>
                            <w:rFonts w:cs="Arial"/>
                            <w:sz w:val="18"/>
                            <w:szCs w:val="18"/>
                            <w:lang w:val="mk-MK"/>
                          </w:rPr>
                          <w:t>Ризик дека заемопримачот нема да биде во можност да ги плати своите обврски поради негативни курсни разлики.</w:t>
                        </w:r>
                      </w:p>
                      <w:p w14:paraId="3CE4418E" w14:textId="77777777" w:rsidR="00D3329A" w:rsidRPr="00B92975" w:rsidRDefault="00D3329A" w:rsidP="00D3329A">
                        <w:pPr>
                          <w:jc w:val="both"/>
                          <w:rPr>
                            <w:rFonts w:cs="Arial"/>
                            <w:sz w:val="10"/>
                            <w:szCs w:val="10"/>
                            <w:lang w:val="en-GB"/>
                          </w:rPr>
                        </w:pPr>
                      </w:p>
                    </w:tc>
                  </w:tr>
                  <w:tr w:rsidR="00D3329A" w:rsidRPr="00B92975" w14:paraId="18355DF0" w14:textId="77777777" w:rsidTr="00BF05D1">
                    <w:trPr>
                      <w:trHeight w:val="70"/>
                    </w:trPr>
                    <w:tc>
                      <w:tcPr>
                        <w:tcW w:w="1563" w:type="dxa"/>
                        <w:vMerge/>
                      </w:tcPr>
                      <w:p w14:paraId="573608F2" w14:textId="77777777" w:rsidR="00D3329A" w:rsidRPr="00B92975" w:rsidRDefault="00D3329A" w:rsidP="00D3329A">
                        <w:pPr>
                          <w:rPr>
                            <w:rFonts w:cs="Arial"/>
                            <w:b/>
                            <w:sz w:val="18"/>
                            <w:szCs w:val="18"/>
                            <w:lang w:val="mk-MK"/>
                          </w:rPr>
                        </w:pPr>
                      </w:p>
                    </w:tc>
                    <w:tc>
                      <w:tcPr>
                        <w:tcW w:w="1985" w:type="dxa"/>
                      </w:tcPr>
                      <w:p w14:paraId="4F0204DA" w14:textId="77777777" w:rsidR="00D3329A" w:rsidRPr="00B92975" w:rsidRDefault="00D3329A" w:rsidP="00D3329A">
                        <w:pPr>
                          <w:rPr>
                            <w:rFonts w:cs="Arial"/>
                            <w:sz w:val="18"/>
                            <w:szCs w:val="18"/>
                            <w:lang w:val="mk-MK"/>
                          </w:rPr>
                        </w:pPr>
                        <w:r w:rsidRPr="00B92975">
                          <w:rPr>
                            <w:rFonts w:cs="Arial"/>
                            <w:sz w:val="18"/>
                            <w:szCs w:val="18"/>
                            <w:lang w:val="mk-MK"/>
                          </w:rPr>
                          <w:t>Ризик на земја</w:t>
                        </w:r>
                      </w:p>
                    </w:tc>
                    <w:tc>
                      <w:tcPr>
                        <w:tcW w:w="5103" w:type="dxa"/>
                        <w:shd w:val="clear" w:color="auto" w:fill="auto"/>
                      </w:tcPr>
                      <w:p w14:paraId="1B811057" w14:textId="77777777" w:rsidR="00D3329A" w:rsidRPr="00B92975" w:rsidRDefault="00D3329A" w:rsidP="00D3329A">
                        <w:pPr>
                          <w:jc w:val="both"/>
                          <w:rPr>
                            <w:rFonts w:cs="Arial"/>
                            <w:color w:val="333333"/>
                            <w:sz w:val="18"/>
                            <w:szCs w:val="18"/>
                            <w:lang w:val="en-GB"/>
                          </w:rPr>
                        </w:pPr>
                        <w:r w:rsidRPr="00B92975">
                          <w:rPr>
                            <w:rFonts w:cs="Arial"/>
                            <w:sz w:val="18"/>
                            <w:szCs w:val="18"/>
                            <w:lang w:val="mk-MK"/>
                          </w:rPr>
                          <w:t>Ризик од инвестирање или кредитирање на дадена држава, кој произлегува од можните промени во деловното окружување што можат негативно да влијаат на профитот од работењето или вредноста на средствата во дадената државата. Факторите кои се специфични за една држава можат негативно да влијаат на способноста на должникот да ги подмири своите финансиски обврски.</w:t>
                        </w:r>
                        <w:r w:rsidRPr="00B92975">
                          <w:rPr>
                            <w:rFonts w:cs="Arial"/>
                            <w:color w:val="333333"/>
                            <w:sz w:val="18"/>
                            <w:szCs w:val="18"/>
                            <w:lang w:val="mk-MK"/>
                          </w:rPr>
                          <w:t xml:space="preserve"> </w:t>
                        </w:r>
                      </w:p>
                      <w:p w14:paraId="415C97B9" w14:textId="77777777" w:rsidR="00D3329A" w:rsidRPr="00B92975" w:rsidRDefault="00D3329A" w:rsidP="00D3329A">
                        <w:pPr>
                          <w:jc w:val="both"/>
                          <w:rPr>
                            <w:rFonts w:cs="Arial"/>
                            <w:sz w:val="10"/>
                            <w:szCs w:val="10"/>
                            <w:lang w:val="en-GB"/>
                          </w:rPr>
                        </w:pPr>
                      </w:p>
                    </w:tc>
                  </w:tr>
                  <w:tr w:rsidR="00D3329A" w:rsidRPr="00B92975" w14:paraId="39A51A29" w14:textId="77777777" w:rsidTr="00BF05D1">
                    <w:trPr>
                      <w:trHeight w:val="70"/>
                    </w:trPr>
                    <w:tc>
                      <w:tcPr>
                        <w:tcW w:w="1563" w:type="dxa"/>
                        <w:vMerge/>
                      </w:tcPr>
                      <w:p w14:paraId="52618FD6" w14:textId="77777777" w:rsidR="00D3329A" w:rsidRPr="00B92975" w:rsidRDefault="00D3329A" w:rsidP="00D3329A">
                        <w:pPr>
                          <w:rPr>
                            <w:rFonts w:cs="Arial"/>
                            <w:b/>
                            <w:sz w:val="18"/>
                            <w:szCs w:val="18"/>
                            <w:lang w:val="mk-MK"/>
                          </w:rPr>
                        </w:pPr>
                      </w:p>
                    </w:tc>
                    <w:tc>
                      <w:tcPr>
                        <w:tcW w:w="1985" w:type="dxa"/>
                        <w:tcBorders>
                          <w:top w:val="single" w:sz="4" w:space="0" w:color="757575"/>
                          <w:left w:val="single" w:sz="4" w:space="0" w:color="757575"/>
                          <w:bottom w:val="single" w:sz="4" w:space="0" w:color="757575"/>
                          <w:right w:val="single" w:sz="4" w:space="0" w:color="757575"/>
                        </w:tcBorders>
                        <w:shd w:val="clear" w:color="auto" w:fill="auto"/>
                        <w:vAlign w:val="center"/>
                      </w:tcPr>
                      <w:p w14:paraId="03D7E1CF" w14:textId="77777777" w:rsidR="00D3329A" w:rsidRPr="00B92975" w:rsidRDefault="00D3329A" w:rsidP="00D3329A">
                        <w:pPr>
                          <w:rPr>
                            <w:rFonts w:cs="Arial"/>
                            <w:sz w:val="18"/>
                            <w:szCs w:val="18"/>
                            <w:lang w:val="mk-MK"/>
                          </w:rPr>
                        </w:pPr>
                        <w:r w:rsidRPr="00B92975">
                          <w:rPr>
                            <w:rFonts w:cs="Arial"/>
                            <w:sz w:val="18"/>
                            <w:szCs w:val="18"/>
                            <w:lang w:val="mk-MK"/>
                          </w:rPr>
                          <w:t>Ризик од неисполнување на обврски</w:t>
                        </w:r>
                        <w:r w:rsidRPr="00B92975">
                          <w:t xml:space="preserve"> </w:t>
                        </w:r>
                        <w:r w:rsidRPr="00B92975">
                          <w:rPr>
                            <w:rFonts w:cs="Arial"/>
                            <w:sz w:val="18"/>
                            <w:szCs w:val="18"/>
                            <w:lang w:val="mk-MK"/>
                          </w:rPr>
                          <w:t>што произлегува од ризиците поврзани со климата и животната средина</w:t>
                        </w:r>
                      </w:p>
                    </w:tc>
                    <w:tc>
                      <w:tcPr>
                        <w:tcW w:w="5103" w:type="dxa"/>
                        <w:tcBorders>
                          <w:top w:val="single" w:sz="4" w:space="0" w:color="757575"/>
                          <w:left w:val="nil"/>
                          <w:bottom w:val="single" w:sz="4" w:space="0" w:color="757575"/>
                          <w:right w:val="single" w:sz="4" w:space="0" w:color="757575"/>
                        </w:tcBorders>
                        <w:shd w:val="clear" w:color="auto" w:fill="auto"/>
                      </w:tcPr>
                      <w:p w14:paraId="0BFE663E" w14:textId="77777777" w:rsidR="00D3329A" w:rsidRPr="00B92975" w:rsidRDefault="00D3329A" w:rsidP="00D3329A">
                        <w:pPr>
                          <w:jc w:val="both"/>
                          <w:rPr>
                            <w:rFonts w:cs="Arial"/>
                            <w:b/>
                            <w:bCs/>
                            <w:sz w:val="18"/>
                            <w:szCs w:val="18"/>
                            <w:lang w:val="mk-MK"/>
                          </w:rPr>
                        </w:pPr>
                        <w:r w:rsidRPr="00B92975">
                          <w:rPr>
                            <w:rFonts w:cs="Arial"/>
                            <w:sz w:val="18"/>
                            <w:szCs w:val="18"/>
                            <w:lang w:val="mk-MK"/>
                          </w:rPr>
                          <w:t>Ризик од неисполнување на обврски</w:t>
                        </w:r>
                        <w:r w:rsidRPr="00B92975">
                          <w:t xml:space="preserve"> </w:t>
                        </w:r>
                        <w:r w:rsidRPr="00B92975">
                          <w:rPr>
                            <w:rFonts w:cs="Arial"/>
                            <w:sz w:val="18"/>
                            <w:szCs w:val="18"/>
                            <w:lang w:val="mk-MK"/>
                          </w:rPr>
                          <w:t>што произлегува од ризиците поврзани со климата и животната средина</w:t>
                        </w:r>
                      </w:p>
                    </w:tc>
                  </w:tr>
                  <w:tr w:rsidR="00D3329A" w:rsidRPr="00B92975" w14:paraId="7CA61B6F" w14:textId="77777777" w:rsidTr="00BF05D1">
                    <w:trPr>
                      <w:trHeight w:val="70"/>
                    </w:trPr>
                    <w:tc>
                      <w:tcPr>
                        <w:tcW w:w="1563" w:type="dxa"/>
                        <w:vMerge/>
                      </w:tcPr>
                      <w:p w14:paraId="0DE9753C" w14:textId="77777777" w:rsidR="00D3329A" w:rsidRPr="00B92975" w:rsidRDefault="00D3329A" w:rsidP="00D3329A">
                        <w:pPr>
                          <w:rPr>
                            <w:rFonts w:cs="Arial"/>
                            <w:b/>
                            <w:sz w:val="18"/>
                            <w:szCs w:val="18"/>
                            <w:lang w:val="mk-MK"/>
                          </w:rPr>
                        </w:pPr>
                      </w:p>
                    </w:tc>
                    <w:tc>
                      <w:tcPr>
                        <w:tcW w:w="1985" w:type="dxa"/>
                        <w:tcBorders>
                          <w:top w:val="nil"/>
                          <w:left w:val="single" w:sz="4" w:space="0" w:color="757575"/>
                          <w:bottom w:val="single" w:sz="4" w:space="0" w:color="757575"/>
                          <w:right w:val="single" w:sz="4" w:space="0" w:color="757575"/>
                        </w:tcBorders>
                        <w:shd w:val="clear" w:color="auto" w:fill="auto"/>
                        <w:vAlign w:val="center"/>
                      </w:tcPr>
                      <w:p w14:paraId="50432635" w14:textId="77777777" w:rsidR="00D3329A" w:rsidRPr="00B92975" w:rsidRDefault="00D3329A" w:rsidP="00D3329A">
                        <w:pPr>
                          <w:rPr>
                            <w:rFonts w:cs="Arial"/>
                            <w:sz w:val="18"/>
                            <w:szCs w:val="18"/>
                            <w:lang w:val="mk-MK"/>
                          </w:rPr>
                        </w:pPr>
                        <w:r w:rsidRPr="00B92975">
                          <w:rPr>
                            <w:rFonts w:cs="Arial"/>
                            <w:sz w:val="18"/>
                            <w:szCs w:val="18"/>
                            <w:lang w:val="mk-MK"/>
                          </w:rPr>
                          <w:t>Ризик од вредноста на колатералот (цена) што произлегува од ризиците поврзани со климата и животната средина</w:t>
                        </w:r>
                      </w:p>
                    </w:tc>
                    <w:tc>
                      <w:tcPr>
                        <w:tcW w:w="5103" w:type="dxa"/>
                        <w:tcBorders>
                          <w:top w:val="nil"/>
                          <w:left w:val="nil"/>
                          <w:bottom w:val="single" w:sz="4" w:space="0" w:color="757575"/>
                          <w:right w:val="single" w:sz="4" w:space="0" w:color="757575"/>
                        </w:tcBorders>
                        <w:shd w:val="clear" w:color="auto" w:fill="auto"/>
                      </w:tcPr>
                      <w:p w14:paraId="3B1DADEC"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вредноста на колатералот (цена) што произлегува од ризиците поврзани со климата и животната средина</w:t>
                        </w:r>
                      </w:p>
                    </w:tc>
                  </w:tr>
                  <w:tr w:rsidR="00D3329A" w:rsidRPr="00B92975" w14:paraId="53678258" w14:textId="77777777" w:rsidTr="00BF05D1">
                    <w:trPr>
                      <w:trHeight w:val="505"/>
                    </w:trPr>
                    <w:tc>
                      <w:tcPr>
                        <w:tcW w:w="1563" w:type="dxa"/>
                        <w:vMerge w:val="restart"/>
                      </w:tcPr>
                      <w:p w14:paraId="0B777653" w14:textId="77777777" w:rsidR="00D3329A" w:rsidRPr="00B92975" w:rsidRDefault="00D3329A" w:rsidP="00D3329A">
                        <w:pPr>
                          <w:rPr>
                            <w:rFonts w:cs="Arial"/>
                            <w:b/>
                            <w:sz w:val="18"/>
                            <w:szCs w:val="18"/>
                            <w:lang w:val="mk-MK"/>
                          </w:rPr>
                        </w:pPr>
                        <w:r w:rsidRPr="00B92975">
                          <w:rPr>
                            <w:rFonts w:cs="Arial"/>
                            <w:b/>
                            <w:sz w:val="18"/>
                            <w:szCs w:val="18"/>
                            <w:lang w:val="mk-MK"/>
                          </w:rPr>
                          <w:t>Ризик од каматни стапки во банкарските книги</w:t>
                        </w:r>
                      </w:p>
                    </w:tc>
                    <w:tc>
                      <w:tcPr>
                        <w:tcW w:w="1985" w:type="dxa"/>
                      </w:tcPr>
                      <w:p w14:paraId="01031184" w14:textId="77777777" w:rsidR="00D3329A" w:rsidRPr="00B92975" w:rsidRDefault="00D3329A" w:rsidP="00D3329A">
                        <w:pPr>
                          <w:rPr>
                            <w:rFonts w:cs="Arial"/>
                            <w:sz w:val="18"/>
                            <w:szCs w:val="18"/>
                            <w:lang w:val="mk-MK"/>
                          </w:rPr>
                        </w:pPr>
                        <w:r w:rsidRPr="00B92975">
                          <w:rPr>
                            <w:rFonts w:cs="Arial"/>
                            <w:sz w:val="18"/>
                            <w:szCs w:val="18"/>
                            <w:lang w:val="mk-MK"/>
                          </w:rPr>
                          <w:t>Каматен ризик – Е</w:t>
                        </w:r>
                        <w:r w:rsidRPr="00B92975">
                          <w:rPr>
                            <w:rFonts w:cs="Arial"/>
                            <w:sz w:val="18"/>
                            <w:szCs w:val="18"/>
                            <w:lang w:val="en-US"/>
                          </w:rPr>
                          <w:t>v</w:t>
                        </w:r>
                        <w:r w:rsidRPr="00B92975">
                          <w:rPr>
                            <w:rFonts w:cs="Arial"/>
                            <w:sz w:val="18"/>
                            <w:szCs w:val="18"/>
                            <w:lang w:val="mk-MK"/>
                          </w:rPr>
                          <w:t>Е перспектива</w:t>
                        </w:r>
                      </w:p>
                    </w:tc>
                    <w:tc>
                      <w:tcPr>
                        <w:tcW w:w="5103" w:type="dxa"/>
                      </w:tcPr>
                      <w:p w14:paraId="6DC3B3BE" w14:textId="77777777" w:rsidR="00D3329A" w:rsidRPr="00B92975" w:rsidRDefault="00D3329A" w:rsidP="00D3329A">
                        <w:pPr>
                          <w:jc w:val="both"/>
                          <w:rPr>
                            <w:rFonts w:cs="Arial"/>
                            <w:color w:val="000000"/>
                            <w:sz w:val="18"/>
                            <w:szCs w:val="18"/>
                            <w:lang w:val="mk-MK"/>
                          </w:rPr>
                        </w:pPr>
                        <w:r w:rsidRPr="00B92975">
                          <w:rPr>
                            <w:rFonts w:cs="Arial"/>
                            <w:color w:val="000000"/>
                            <w:sz w:val="18"/>
                            <w:szCs w:val="18"/>
                            <w:lang w:val="mk-MK"/>
                          </w:rPr>
                          <w:t>Ризик од загуби на акционерска вредност од економска перспектива.</w:t>
                        </w:r>
                      </w:p>
                      <w:p w14:paraId="07D3621C" w14:textId="77777777" w:rsidR="00D3329A" w:rsidRPr="00B92975" w:rsidRDefault="00D3329A" w:rsidP="00D3329A">
                        <w:pPr>
                          <w:jc w:val="both"/>
                          <w:rPr>
                            <w:rFonts w:cs="Arial"/>
                            <w:sz w:val="10"/>
                            <w:szCs w:val="10"/>
                            <w:lang w:val="mk-MK"/>
                          </w:rPr>
                        </w:pPr>
                      </w:p>
                    </w:tc>
                  </w:tr>
                  <w:tr w:rsidR="00D3329A" w:rsidRPr="00B92975" w14:paraId="2D207251" w14:textId="77777777" w:rsidTr="00BF05D1">
                    <w:trPr>
                      <w:trHeight w:val="499"/>
                    </w:trPr>
                    <w:tc>
                      <w:tcPr>
                        <w:tcW w:w="1563" w:type="dxa"/>
                        <w:vMerge/>
                      </w:tcPr>
                      <w:p w14:paraId="45005052" w14:textId="77777777" w:rsidR="00D3329A" w:rsidRPr="00B92975" w:rsidRDefault="00D3329A" w:rsidP="00D3329A">
                        <w:pPr>
                          <w:rPr>
                            <w:rFonts w:cs="Arial"/>
                            <w:b/>
                            <w:sz w:val="18"/>
                            <w:szCs w:val="18"/>
                            <w:lang w:val="mk-MK"/>
                          </w:rPr>
                        </w:pPr>
                      </w:p>
                    </w:tc>
                    <w:tc>
                      <w:tcPr>
                        <w:tcW w:w="1985" w:type="dxa"/>
                      </w:tcPr>
                      <w:p w14:paraId="38163846" w14:textId="77777777" w:rsidR="00D3329A" w:rsidRPr="00B92975" w:rsidRDefault="00D3329A" w:rsidP="00D3329A">
                        <w:pPr>
                          <w:rPr>
                            <w:rFonts w:cs="Arial"/>
                            <w:sz w:val="18"/>
                            <w:szCs w:val="18"/>
                            <w:lang w:val="mk-MK"/>
                          </w:rPr>
                        </w:pPr>
                        <w:r w:rsidRPr="00B92975">
                          <w:rPr>
                            <w:rFonts w:cs="Arial"/>
                            <w:sz w:val="18"/>
                            <w:szCs w:val="18"/>
                            <w:lang w:val="mk-MK"/>
                          </w:rPr>
                          <w:t>Каматен ризик – Еа</w:t>
                        </w:r>
                        <w:r w:rsidRPr="00B92975">
                          <w:rPr>
                            <w:rFonts w:cs="Arial"/>
                            <w:sz w:val="18"/>
                            <w:szCs w:val="18"/>
                            <w:lang w:val="en-US"/>
                          </w:rPr>
                          <w:t>R</w:t>
                        </w:r>
                        <w:r w:rsidRPr="00B92975">
                          <w:rPr>
                            <w:rFonts w:cs="Arial"/>
                            <w:sz w:val="18"/>
                            <w:szCs w:val="18"/>
                            <w:lang w:val="mk-MK"/>
                          </w:rPr>
                          <w:t xml:space="preserve"> перспектива</w:t>
                        </w:r>
                      </w:p>
                    </w:tc>
                    <w:tc>
                      <w:tcPr>
                        <w:tcW w:w="5103" w:type="dxa"/>
                      </w:tcPr>
                      <w:p w14:paraId="4779B124" w14:textId="77777777" w:rsidR="00D3329A" w:rsidRPr="00B92975" w:rsidRDefault="00D3329A" w:rsidP="00D3329A">
                        <w:pPr>
                          <w:autoSpaceDE w:val="0"/>
                          <w:autoSpaceDN w:val="0"/>
                          <w:adjustRightInd w:val="0"/>
                          <w:jc w:val="both"/>
                          <w:rPr>
                            <w:rFonts w:cs="Arial"/>
                            <w:color w:val="000000"/>
                            <w:sz w:val="18"/>
                            <w:szCs w:val="18"/>
                            <w:lang w:val="mk-MK"/>
                          </w:rPr>
                        </w:pPr>
                        <w:r w:rsidRPr="00B92975">
                          <w:rPr>
                            <w:rFonts w:cs="Arial"/>
                            <w:color w:val="000000"/>
                            <w:sz w:val="18"/>
                            <w:szCs w:val="18"/>
                            <w:lang w:val="mk-MK"/>
                          </w:rPr>
                          <w:t>Ризик од загуба на нето приходи од камати.</w:t>
                        </w:r>
                      </w:p>
                      <w:p w14:paraId="228D9882" w14:textId="77777777" w:rsidR="00D3329A" w:rsidRPr="00B92975" w:rsidRDefault="00D3329A" w:rsidP="00D3329A">
                        <w:pPr>
                          <w:autoSpaceDE w:val="0"/>
                          <w:autoSpaceDN w:val="0"/>
                          <w:adjustRightInd w:val="0"/>
                          <w:jc w:val="both"/>
                          <w:rPr>
                            <w:rFonts w:cs="Arial"/>
                            <w:sz w:val="18"/>
                            <w:szCs w:val="18"/>
                            <w:lang w:val="en-GB"/>
                          </w:rPr>
                        </w:pPr>
                      </w:p>
                    </w:tc>
                  </w:tr>
                  <w:tr w:rsidR="00D3329A" w:rsidRPr="00B92975" w14:paraId="4809BC25" w14:textId="77777777" w:rsidTr="00BF05D1">
                    <w:trPr>
                      <w:trHeight w:val="201"/>
                    </w:trPr>
                    <w:tc>
                      <w:tcPr>
                        <w:tcW w:w="1563" w:type="dxa"/>
                        <w:vMerge w:val="restart"/>
                      </w:tcPr>
                      <w:p w14:paraId="50CE6504" w14:textId="77777777" w:rsidR="00D3329A" w:rsidRPr="00B92975" w:rsidRDefault="00D3329A" w:rsidP="00D3329A">
                        <w:pPr>
                          <w:rPr>
                            <w:rFonts w:cs="Arial"/>
                            <w:b/>
                            <w:sz w:val="18"/>
                            <w:szCs w:val="18"/>
                            <w:lang w:val="mk-MK"/>
                          </w:rPr>
                        </w:pPr>
                        <w:r w:rsidRPr="00B92975">
                          <w:rPr>
                            <w:rFonts w:cs="Arial"/>
                            <w:b/>
                            <w:sz w:val="18"/>
                            <w:szCs w:val="18"/>
                            <w:lang w:val="mk-MK"/>
                          </w:rPr>
                          <w:t>Пазарен ризик</w:t>
                        </w:r>
                      </w:p>
                    </w:tc>
                    <w:tc>
                      <w:tcPr>
                        <w:tcW w:w="1985" w:type="dxa"/>
                      </w:tcPr>
                      <w:p w14:paraId="19063142" w14:textId="77777777" w:rsidR="00D3329A" w:rsidRPr="00B92975" w:rsidRDefault="00D3329A" w:rsidP="00D3329A">
                        <w:pPr>
                          <w:rPr>
                            <w:rFonts w:cs="Arial"/>
                            <w:sz w:val="18"/>
                            <w:szCs w:val="18"/>
                            <w:lang w:val="mk-MK"/>
                          </w:rPr>
                        </w:pPr>
                        <w:r w:rsidRPr="00B92975">
                          <w:rPr>
                            <w:rFonts w:cs="Arial"/>
                            <w:sz w:val="18"/>
                            <w:szCs w:val="18"/>
                            <w:lang w:val="mk-MK"/>
                          </w:rPr>
                          <w:t>“</w:t>
                        </w:r>
                        <w:r w:rsidRPr="00B92975">
                          <w:rPr>
                            <w:rFonts w:cs="Arial"/>
                            <w:sz w:val="18"/>
                            <w:szCs w:val="18"/>
                            <w:lang w:val="hr-HR"/>
                          </w:rPr>
                          <w:t>Credit spread</w:t>
                        </w:r>
                        <w:r w:rsidRPr="00B92975">
                          <w:rPr>
                            <w:rFonts w:cs="Arial"/>
                            <w:sz w:val="18"/>
                            <w:szCs w:val="18"/>
                            <w:lang w:val="mk-MK"/>
                          </w:rPr>
                          <w:t>” ризик</w:t>
                        </w:r>
                      </w:p>
                    </w:tc>
                    <w:tc>
                      <w:tcPr>
                        <w:tcW w:w="5103" w:type="dxa"/>
                      </w:tcPr>
                      <w:p w14:paraId="1D9C6C8C" w14:textId="77777777" w:rsidR="00D3329A" w:rsidRPr="00B92975" w:rsidRDefault="00D3329A" w:rsidP="00D3329A">
                        <w:pPr>
                          <w:jc w:val="both"/>
                          <w:rPr>
                            <w:rFonts w:cs="Arial"/>
                            <w:sz w:val="18"/>
                            <w:szCs w:val="18"/>
                            <w:lang w:val="mk-MK"/>
                          </w:rPr>
                        </w:pPr>
                        <w:r w:rsidRPr="00B92975">
                          <w:rPr>
                            <w:rFonts w:cs="Arial"/>
                            <w:sz w:val="18"/>
                            <w:szCs w:val="18"/>
                            <w:lang w:val="mk-MK"/>
                          </w:rPr>
                          <w:t>Ризик што произлегува од промените во пазарната вредност на должничките финансиски инструменти заради флуктуации во нивната маргина.</w:t>
                        </w:r>
                      </w:p>
                      <w:p w14:paraId="14FCF9D9" w14:textId="77777777" w:rsidR="00D3329A" w:rsidRPr="00B92975" w:rsidRDefault="00D3329A" w:rsidP="00D3329A">
                        <w:pPr>
                          <w:jc w:val="both"/>
                          <w:rPr>
                            <w:rFonts w:cs="Arial"/>
                            <w:sz w:val="10"/>
                            <w:szCs w:val="10"/>
                            <w:lang w:val="mk-MK"/>
                          </w:rPr>
                        </w:pPr>
                      </w:p>
                    </w:tc>
                  </w:tr>
                  <w:tr w:rsidR="00D3329A" w:rsidRPr="00B92975" w14:paraId="2EBC2842" w14:textId="77777777" w:rsidTr="00BF05D1">
                    <w:trPr>
                      <w:trHeight w:val="201"/>
                    </w:trPr>
                    <w:tc>
                      <w:tcPr>
                        <w:tcW w:w="1563" w:type="dxa"/>
                        <w:vMerge/>
                      </w:tcPr>
                      <w:p w14:paraId="3883A7C4" w14:textId="77777777" w:rsidR="00D3329A" w:rsidRPr="00B92975" w:rsidRDefault="00D3329A" w:rsidP="00D3329A">
                        <w:pPr>
                          <w:rPr>
                            <w:rFonts w:cs="Arial"/>
                            <w:b/>
                            <w:sz w:val="18"/>
                            <w:szCs w:val="18"/>
                            <w:lang w:val="mk-MK"/>
                          </w:rPr>
                        </w:pPr>
                      </w:p>
                    </w:tc>
                    <w:tc>
                      <w:tcPr>
                        <w:tcW w:w="1985" w:type="dxa"/>
                      </w:tcPr>
                      <w:p w14:paraId="2DC7D941" w14:textId="77777777" w:rsidR="00D3329A" w:rsidRPr="00B92975" w:rsidRDefault="00D3329A" w:rsidP="00D3329A">
                        <w:pPr>
                          <w:rPr>
                            <w:rFonts w:cs="Arial"/>
                            <w:sz w:val="18"/>
                            <w:szCs w:val="18"/>
                            <w:lang w:val="mk-MK"/>
                          </w:rPr>
                        </w:pPr>
                        <w:r w:rsidRPr="00B92975">
                          <w:rPr>
                            <w:rFonts w:cs="Arial"/>
                            <w:sz w:val="18"/>
                            <w:szCs w:val="18"/>
                            <w:lang w:val="mk-MK"/>
                          </w:rPr>
                          <w:t xml:space="preserve">Валутен ризик </w:t>
                        </w:r>
                      </w:p>
                    </w:tc>
                    <w:tc>
                      <w:tcPr>
                        <w:tcW w:w="5103" w:type="dxa"/>
                      </w:tcPr>
                      <w:p w14:paraId="66E65E4A"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загуби кој произлегува од негативни движења во девизниот курс.</w:t>
                        </w:r>
                      </w:p>
                    </w:tc>
                  </w:tr>
                  <w:tr w:rsidR="00D3329A" w:rsidRPr="00B92975" w14:paraId="0FAC2715" w14:textId="77777777" w:rsidTr="00BF05D1">
                    <w:trPr>
                      <w:trHeight w:val="404"/>
                    </w:trPr>
                    <w:tc>
                      <w:tcPr>
                        <w:tcW w:w="1563" w:type="dxa"/>
                        <w:vMerge w:val="restart"/>
                      </w:tcPr>
                      <w:p w14:paraId="03612A9F" w14:textId="77777777" w:rsidR="00D3329A" w:rsidRPr="00B92975" w:rsidRDefault="00D3329A" w:rsidP="00D3329A">
                        <w:pPr>
                          <w:rPr>
                            <w:rFonts w:cs="Arial"/>
                            <w:b/>
                            <w:sz w:val="18"/>
                            <w:szCs w:val="18"/>
                            <w:lang w:val="mk-MK"/>
                          </w:rPr>
                        </w:pPr>
                        <w:r w:rsidRPr="00B92975">
                          <w:rPr>
                            <w:rFonts w:cs="Arial"/>
                            <w:b/>
                            <w:sz w:val="18"/>
                            <w:szCs w:val="18"/>
                            <w:lang w:val="mk-MK"/>
                          </w:rPr>
                          <w:t>Ликвидносен ризик</w:t>
                        </w:r>
                      </w:p>
                    </w:tc>
                    <w:tc>
                      <w:tcPr>
                        <w:tcW w:w="1985" w:type="dxa"/>
                      </w:tcPr>
                      <w:p w14:paraId="41ACC38B" w14:textId="77777777" w:rsidR="00D3329A" w:rsidRPr="00B92975" w:rsidRDefault="00D3329A" w:rsidP="00D3329A">
                        <w:pPr>
                          <w:rPr>
                            <w:rFonts w:cs="Arial"/>
                            <w:sz w:val="18"/>
                            <w:szCs w:val="18"/>
                            <w:lang w:val="mk-MK"/>
                          </w:rPr>
                        </w:pPr>
                        <w:r w:rsidRPr="00B92975">
                          <w:rPr>
                            <w:rFonts w:cs="Arial"/>
                            <w:sz w:val="18"/>
                            <w:szCs w:val="18"/>
                            <w:lang w:val="mk-MK"/>
                          </w:rPr>
                          <w:t>Ризик од финансирање</w:t>
                        </w:r>
                      </w:p>
                    </w:tc>
                    <w:tc>
                      <w:tcPr>
                        <w:tcW w:w="5103" w:type="dxa"/>
                      </w:tcPr>
                      <w:p w14:paraId="1BD684AA"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загуби поради неможност за подмирување на обврските</w:t>
                        </w:r>
                      </w:p>
                    </w:tc>
                  </w:tr>
                  <w:tr w:rsidR="00D3329A" w:rsidRPr="00B92975" w14:paraId="23219328" w14:textId="77777777" w:rsidTr="00BF05D1">
                    <w:trPr>
                      <w:trHeight w:val="639"/>
                    </w:trPr>
                    <w:tc>
                      <w:tcPr>
                        <w:tcW w:w="1563" w:type="dxa"/>
                        <w:vMerge/>
                      </w:tcPr>
                      <w:p w14:paraId="5A640261" w14:textId="77777777" w:rsidR="00D3329A" w:rsidRPr="00B92975" w:rsidRDefault="00D3329A" w:rsidP="00D3329A">
                        <w:pPr>
                          <w:rPr>
                            <w:rFonts w:cs="Arial"/>
                            <w:b/>
                            <w:sz w:val="18"/>
                            <w:szCs w:val="18"/>
                            <w:lang w:val="mk-MK"/>
                          </w:rPr>
                        </w:pPr>
                      </w:p>
                    </w:tc>
                    <w:tc>
                      <w:tcPr>
                        <w:tcW w:w="1985" w:type="dxa"/>
                      </w:tcPr>
                      <w:p w14:paraId="49BC3474" w14:textId="77777777" w:rsidR="00D3329A" w:rsidRPr="00B92975" w:rsidRDefault="00D3329A" w:rsidP="00D3329A">
                        <w:pPr>
                          <w:rPr>
                            <w:rFonts w:cs="Arial"/>
                            <w:sz w:val="18"/>
                            <w:szCs w:val="18"/>
                            <w:lang w:val="mk-MK"/>
                          </w:rPr>
                        </w:pPr>
                      </w:p>
                      <w:p w14:paraId="54353196" w14:textId="77777777" w:rsidR="00D3329A" w:rsidRPr="00B92975" w:rsidRDefault="00D3329A" w:rsidP="00D3329A">
                        <w:pPr>
                          <w:rPr>
                            <w:rFonts w:cs="Arial"/>
                            <w:sz w:val="18"/>
                            <w:szCs w:val="18"/>
                            <w:lang w:val="en-GB"/>
                          </w:rPr>
                        </w:pPr>
                        <w:r w:rsidRPr="00B92975">
                          <w:rPr>
                            <w:rFonts w:cs="Arial"/>
                            <w:sz w:val="18"/>
                            <w:szCs w:val="18"/>
                            <w:lang w:val="mk-MK"/>
                          </w:rPr>
                          <w:t>Интрадневен ликвидносен ризик</w:t>
                        </w:r>
                      </w:p>
                    </w:tc>
                    <w:tc>
                      <w:tcPr>
                        <w:tcW w:w="5103" w:type="dxa"/>
                      </w:tcPr>
                      <w:p w14:paraId="17BC3377" w14:textId="77777777" w:rsidR="00D3329A" w:rsidRPr="00B92975" w:rsidRDefault="00D3329A" w:rsidP="00D3329A">
                        <w:pPr>
                          <w:autoSpaceDE w:val="0"/>
                          <w:autoSpaceDN w:val="0"/>
                          <w:adjustRightInd w:val="0"/>
                          <w:jc w:val="both"/>
                          <w:rPr>
                            <w:rFonts w:cs="Arial"/>
                            <w:sz w:val="18"/>
                            <w:szCs w:val="18"/>
                            <w:lang w:val="mk-MK"/>
                          </w:rPr>
                        </w:pPr>
                      </w:p>
                      <w:p w14:paraId="2A0F2C41" w14:textId="77777777" w:rsidR="00D3329A" w:rsidRPr="00B92975" w:rsidRDefault="00D3329A" w:rsidP="00D3329A">
                        <w:pPr>
                          <w:autoSpaceDE w:val="0"/>
                          <w:autoSpaceDN w:val="0"/>
                          <w:adjustRightInd w:val="0"/>
                          <w:jc w:val="both"/>
                          <w:rPr>
                            <w:rFonts w:cs="Arial"/>
                            <w:sz w:val="18"/>
                            <w:szCs w:val="18"/>
                            <w:lang w:val="en-GB"/>
                          </w:rPr>
                        </w:pPr>
                        <w:r w:rsidRPr="00B92975">
                          <w:rPr>
                            <w:rFonts w:cs="Arial"/>
                            <w:sz w:val="18"/>
                            <w:szCs w:val="18"/>
                            <w:lang w:val="mk-MK"/>
                          </w:rPr>
                          <w:t>Интрадневниот л</w:t>
                        </w:r>
                        <w:proofErr w:type="spellStart"/>
                        <w:r w:rsidRPr="00B92975">
                          <w:rPr>
                            <w:rFonts w:cs="Arial"/>
                            <w:sz w:val="18"/>
                            <w:szCs w:val="18"/>
                            <w:lang w:val="en-GB"/>
                          </w:rPr>
                          <w:t>иквидносен</w:t>
                        </w:r>
                        <w:proofErr w:type="spellEnd"/>
                        <w:r w:rsidRPr="00B92975">
                          <w:rPr>
                            <w:rFonts w:cs="Arial"/>
                            <w:sz w:val="18"/>
                            <w:szCs w:val="18"/>
                            <w:lang w:val="en-GB"/>
                          </w:rPr>
                          <w:t xml:space="preserve"> </w:t>
                        </w:r>
                        <w:proofErr w:type="spellStart"/>
                        <w:r w:rsidRPr="00B92975">
                          <w:rPr>
                            <w:rFonts w:cs="Arial"/>
                            <w:sz w:val="18"/>
                            <w:szCs w:val="18"/>
                            <w:lang w:val="en-GB"/>
                          </w:rPr>
                          <w:t>ризик</w:t>
                        </w:r>
                        <w:proofErr w:type="spellEnd"/>
                        <w:r w:rsidRPr="00B92975">
                          <w:rPr>
                            <w:rFonts w:cs="Arial"/>
                            <w:sz w:val="18"/>
                            <w:szCs w:val="18"/>
                            <w:lang w:val="en-GB"/>
                          </w:rPr>
                          <w:t xml:space="preserve"> е </w:t>
                        </w:r>
                        <w:proofErr w:type="spellStart"/>
                        <w:r w:rsidRPr="00B92975">
                          <w:rPr>
                            <w:rFonts w:cs="Arial"/>
                            <w:sz w:val="18"/>
                            <w:szCs w:val="18"/>
                            <w:lang w:val="en-GB"/>
                          </w:rPr>
                          <w:t>капацитетот</w:t>
                        </w:r>
                        <w:proofErr w:type="spellEnd"/>
                        <w:r w:rsidRPr="00B92975">
                          <w:rPr>
                            <w:rFonts w:cs="Arial"/>
                            <w:sz w:val="18"/>
                            <w:szCs w:val="18"/>
                            <w:lang w:val="en-GB"/>
                          </w:rPr>
                          <w:t xml:space="preserve"> </w:t>
                        </w:r>
                        <w:proofErr w:type="spellStart"/>
                        <w:r w:rsidRPr="00B92975">
                          <w:rPr>
                            <w:rFonts w:cs="Arial"/>
                            <w:sz w:val="18"/>
                            <w:szCs w:val="18"/>
                            <w:lang w:val="en-GB"/>
                          </w:rPr>
                          <w:t>потребен</w:t>
                        </w:r>
                        <w:proofErr w:type="spellEnd"/>
                        <w:r w:rsidRPr="00B92975">
                          <w:rPr>
                            <w:rFonts w:cs="Arial"/>
                            <w:sz w:val="18"/>
                            <w:szCs w:val="18"/>
                            <w:lang w:val="en-GB"/>
                          </w:rPr>
                          <w:t xml:space="preserve"> </w:t>
                        </w:r>
                        <w:proofErr w:type="spellStart"/>
                        <w:r w:rsidRPr="00B92975">
                          <w:rPr>
                            <w:rFonts w:cs="Arial"/>
                            <w:sz w:val="18"/>
                            <w:szCs w:val="18"/>
                            <w:lang w:val="en-GB"/>
                          </w:rPr>
                          <w:t>во</w:t>
                        </w:r>
                        <w:proofErr w:type="spellEnd"/>
                        <w:r w:rsidRPr="00B92975">
                          <w:rPr>
                            <w:rFonts w:cs="Arial"/>
                            <w:sz w:val="18"/>
                            <w:szCs w:val="18"/>
                            <w:lang w:val="en-GB"/>
                          </w:rPr>
                          <w:t xml:space="preserve"> </w:t>
                        </w:r>
                        <w:proofErr w:type="spellStart"/>
                        <w:r w:rsidRPr="00B92975">
                          <w:rPr>
                            <w:rFonts w:cs="Arial"/>
                            <w:sz w:val="18"/>
                            <w:szCs w:val="18"/>
                            <w:lang w:val="en-GB"/>
                          </w:rPr>
                          <w:t>текот</w:t>
                        </w:r>
                        <w:proofErr w:type="spellEnd"/>
                        <w:r w:rsidRPr="00B92975">
                          <w:rPr>
                            <w:rFonts w:cs="Arial"/>
                            <w:sz w:val="18"/>
                            <w:szCs w:val="18"/>
                            <w:lang w:val="en-GB"/>
                          </w:rPr>
                          <w:t xml:space="preserve"> на </w:t>
                        </w:r>
                        <w:proofErr w:type="spellStart"/>
                        <w:r w:rsidRPr="00B92975">
                          <w:rPr>
                            <w:rFonts w:cs="Arial"/>
                            <w:sz w:val="18"/>
                            <w:szCs w:val="18"/>
                            <w:lang w:val="en-GB"/>
                          </w:rPr>
                          <w:t>работниот</w:t>
                        </w:r>
                        <w:proofErr w:type="spellEnd"/>
                        <w:r w:rsidRPr="00B92975">
                          <w:rPr>
                            <w:rFonts w:cs="Arial"/>
                            <w:sz w:val="18"/>
                            <w:szCs w:val="18"/>
                            <w:lang w:val="en-GB"/>
                          </w:rPr>
                          <w:t xml:space="preserve"> </w:t>
                        </w:r>
                        <w:proofErr w:type="spellStart"/>
                        <w:r w:rsidRPr="00B92975">
                          <w:rPr>
                            <w:rFonts w:cs="Arial"/>
                            <w:sz w:val="18"/>
                            <w:szCs w:val="18"/>
                            <w:lang w:val="en-GB"/>
                          </w:rPr>
                          <w:t>ден</w:t>
                        </w:r>
                        <w:proofErr w:type="spellEnd"/>
                        <w:r w:rsidRPr="00B92975">
                          <w:rPr>
                            <w:rFonts w:cs="Arial"/>
                            <w:sz w:val="18"/>
                            <w:szCs w:val="18"/>
                            <w:lang w:val="en-GB"/>
                          </w:rPr>
                          <w:t xml:space="preserve"> </w:t>
                        </w:r>
                        <w:proofErr w:type="spellStart"/>
                        <w:r w:rsidRPr="00B92975">
                          <w:rPr>
                            <w:rFonts w:cs="Arial"/>
                            <w:sz w:val="18"/>
                            <w:szCs w:val="18"/>
                            <w:lang w:val="en-GB"/>
                          </w:rPr>
                          <w:t>за</w:t>
                        </w:r>
                        <w:proofErr w:type="spellEnd"/>
                        <w:r w:rsidRPr="00B92975">
                          <w:rPr>
                            <w:rFonts w:cs="Arial"/>
                            <w:sz w:val="18"/>
                            <w:szCs w:val="18"/>
                            <w:lang w:val="en-GB"/>
                          </w:rPr>
                          <w:t xml:space="preserve"> </w:t>
                        </w:r>
                        <w:proofErr w:type="spellStart"/>
                        <w:r w:rsidRPr="00B92975">
                          <w:rPr>
                            <w:rFonts w:cs="Arial"/>
                            <w:sz w:val="18"/>
                            <w:szCs w:val="18"/>
                            <w:lang w:val="en-GB"/>
                          </w:rPr>
                          <w:t>да</w:t>
                        </w:r>
                        <w:proofErr w:type="spellEnd"/>
                        <w:r w:rsidRPr="00B92975">
                          <w:rPr>
                            <w:rFonts w:cs="Arial"/>
                            <w:sz w:val="18"/>
                            <w:szCs w:val="18"/>
                            <w:lang w:val="en-GB"/>
                          </w:rPr>
                          <w:t xml:space="preserve"> </w:t>
                        </w:r>
                        <w:proofErr w:type="spellStart"/>
                        <w:r w:rsidRPr="00B92975">
                          <w:rPr>
                            <w:rFonts w:cs="Arial"/>
                            <w:sz w:val="18"/>
                            <w:szCs w:val="18"/>
                            <w:lang w:val="en-GB"/>
                          </w:rPr>
                          <w:t>им</w:t>
                        </w:r>
                        <w:proofErr w:type="spellEnd"/>
                        <w:r w:rsidRPr="00B92975">
                          <w:rPr>
                            <w:rFonts w:cs="Arial"/>
                            <w:sz w:val="18"/>
                            <w:szCs w:val="18"/>
                            <w:lang w:val="en-GB"/>
                          </w:rPr>
                          <w:t xml:space="preserve"> </w:t>
                        </w:r>
                        <w:proofErr w:type="spellStart"/>
                        <w:r w:rsidRPr="00B92975">
                          <w:rPr>
                            <w:rFonts w:cs="Arial"/>
                            <w:sz w:val="18"/>
                            <w:szCs w:val="18"/>
                            <w:lang w:val="en-GB"/>
                          </w:rPr>
                          <w:t>се</w:t>
                        </w:r>
                        <w:proofErr w:type="spellEnd"/>
                        <w:r w:rsidRPr="00B92975">
                          <w:rPr>
                            <w:rFonts w:cs="Arial"/>
                            <w:sz w:val="18"/>
                            <w:szCs w:val="18"/>
                            <w:lang w:val="en-GB"/>
                          </w:rPr>
                          <w:t xml:space="preserve"> </w:t>
                        </w:r>
                        <w:proofErr w:type="spellStart"/>
                        <w:r w:rsidRPr="00B92975">
                          <w:rPr>
                            <w:rFonts w:cs="Arial"/>
                            <w:sz w:val="18"/>
                            <w:szCs w:val="18"/>
                            <w:lang w:val="en-GB"/>
                          </w:rPr>
                          <w:t>овозможи</w:t>
                        </w:r>
                        <w:proofErr w:type="spellEnd"/>
                        <w:r w:rsidRPr="00B92975">
                          <w:rPr>
                            <w:rFonts w:cs="Arial"/>
                            <w:sz w:val="18"/>
                            <w:szCs w:val="18"/>
                            <w:lang w:val="en-GB"/>
                          </w:rPr>
                          <w:t xml:space="preserve"> на </w:t>
                        </w:r>
                        <w:proofErr w:type="spellStart"/>
                        <w:r w:rsidRPr="00B92975">
                          <w:rPr>
                            <w:rFonts w:cs="Arial"/>
                            <w:sz w:val="18"/>
                            <w:szCs w:val="18"/>
                            <w:lang w:val="en-GB"/>
                          </w:rPr>
                          <w:t>финансиските</w:t>
                        </w:r>
                        <w:proofErr w:type="spellEnd"/>
                        <w:r w:rsidRPr="00B92975">
                          <w:rPr>
                            <w:rFonts w:cs="Arial"/>
                            <w:sz w:val="18"/>
                            <w:szCs w:val="18"/>
                            <w:lang w:val="en-GB"/>
                          </w:rPr>
                          <w:t xml:space="preserve"> </w:t>
                        </w:r>
                        <w:proofErr w:type="spellStart"/>
                        <w:r w:rsidRPr="00B92975">
                          <w:rPr>
                            <w:rFonts w:cs="Arial"/>
                            <w:sz w:val="18"/>
                            <w:szCs w:val="18"/>
                            <w:lang w:val="en-GB"/>
                          </w:rPr>
                          <w:t>институции</w:t>
                        </w:r>
                        <w:proofErr w:type="spellEnd"/>
                        <w:r w:rsidRPr="00B92975">
                          <w:rPr>
                            <w:rFonts w:cs="Arial"/>
                            <w:sz w:val="18"/>
                            <w:szCs w:val="18"/>
                            <w:lang w:val="en-GB"/>
                          </w:rPr>
                          <w:t xml:space="preserve"> </w:t>
                        </w:r>
                        <w:proofErr w:type="spellStart"/>
                        <w:r w:rsidRPr="00B92975">
                          <w:rPr>
                            <w:rFonts w:cs="Arial"/>
                            <w:sz w:val="18"/>
                            <w:szCs w:val="18"/>
                            <w:lang w:val="en-GB"/>
                          </w:rPr>
                          <w:t>да</w:t>
                        </w:r>
                        <w:proofErr w:type="spellEnd"/>
                        <w:r w:rsidRPr="00B92975">
                          <w:rPr>
                            <w:rFonts w:cs="Arial"/>
                            <w:sz w:val="18"/>
                            <w:szCs w:val="18"/>
                            <w:lang w:val="en-GB"/>
                          </w:rPr>
                          <w:t xml:space="preserve"> </w:t>
                        </w:r>
                        <w:proofErr w:type="spellStart"/>
                        <w:r w:rsidRPr="00B92975">
                          <w:rPr>
                            <w:rFonts w:cs="Arial"/>
                            <w:sz w:val="18"/>
                            <w:szCs w:val="18"/>
                            <w:lang w:val="en-GB"/>
                          </w:rPr>
                          <w:t>вршат</w:t>
                        </w:r>
                        <w:proofErr w:type="spellEnd"/>
                        <w:r w:rsidRPr="00B92975">
                          <w:rPr>
                            <w:rFonts w:cs="Arial"/>
                            <w:sz w:val="18"/>
                            <w:szCs w:val="18"/>
                            <w:lang w:val="en-GB"/>
                          </w:rPr>
                          <w:t xml:space="preserve"> </w:t>
                        </w:r>
                        <w:proofErr w:type="spellStart"/>
                        <w:r w:rsidRPr="00B92975">
                          <w:rPr>
                            <w:rFonts w:cs="Arial"/>
                            <w:sz w:val="18"/>
                            <w:szCs w:val="18"/>
                            <w:lang w:val="en-GB"/>
                          </w:rPr>
                          <w:t>плаќања</w:t>
                        </w:r>
                        <w:proofErr w:type="spellEnd"/>
                        <w:r w:rsidRPr="00B92975">
                          <w:rPr>
                            <w:rFonts w:cs="Arial"/>
                            <w:sz w:val="18"/>
                            <w:szCs w:val="18"/>
                            <w:lang w:val="en-GB"/>
                          </w:rPr>
                          <w:t xml:space="preserve"> и </w:t>
                        </w:r>
                        <w:proofErr w:type="spellStart"/>
                        <w:r w:rsidRPr="00B92975">
                          <w:rPr>
                            <w:rFonts w:cs="Arial"/>
                            <w:sz w:val="18"/>
                            <w:szCs w:val="18"/>
                            <w:lang w:val="en-GB"/>
                          </w:rPr>
                          <w:t>да</w:t>
                        </w:r>
                        <w:proofErr w:type="spellEnd"/>
                        <w:r w:rsidRPr="00B92975">
                          <w:rPr>
                            <w:rFonts w:cs="Arial"/>
                            <w:sz w:val="18"/>
                            <w:szCs w:val="18"/>
                            <w:lang w:val="en-GB"/>
                          </w:rPr>
                          <w:t xml:space="preserve"> </w:t>
                        </w:r>
                        <w:proofErr w:type="spellStart"/>
                        <w:r w:rsidRPr="00B92975">
                          <w:rPr>
                            <w:rFonts w:cs="Arial"/>
                            <w:sz w:val="18"/>
                            <w:szCs w:val="18"/>
                            <w:lang w:val="en-GB"/>
                          </w:rPr>
                          <w:t>ги</w:t>
                        </w:r>
                        <w:proofErr w:type="spellEnd"/>
                        <w:r w:rsidRPr="00B92975">
                          <w:rPr>
                            <w:rFonts w:cs="Arial"/>
                            <w:sz w:val="18"/>
                            <w:szCs w:val="18"/>
                            <w:lang w:val="en-GB"/>
                          </w:rPr>
                          <w:t xml:space="preserve"> </w:t>
                        </w:r>
                        <w:proofErr w:type="spellStart"/>
                        <w:r w:rsidRPr="00B92975">
                          <w:rPr>
                            <w:rFonts w:cs="Arial"/>
                            <w:sz w:val="18"/>
                            <w:szCs w:val="18"/>
                            <w:lang w:val="en-GB"/>
                          </w:rPr>
                          <w:t>подмират</w:t>
                        </w:r>
                        <w:proofErr w:type="spellEnd"/>
                        <w:r w:rsidRPr="00B92975">
                          <w:rPr>
                            <w:rFonts w:cs="Arial"/>
                            <w:sz w:val="18"/>
                            <w:szCs w:val="18"/>
                            <w:lang w:val="en-GB"/>
                          </w:rPr>
                          <w:t xml:space="preserve"> </w:t>
                        </w:r>
                        <w:proofErr w:type="spellStart"/>
                        <w:r w:rsidRPr="00B92975">
                          <w:rPr>
                            <w:rFonts w:cs="Arial"/>
                            <w:sz w:val="18"/>
                            <w:szCs w:val="18"/>
                            <w:lang w:val="en-GB"/>
                          </w:rPr>
                          <w:t>обврските</w:t>
                        </w:r>
                        <w:proofErr w:type="spellEnd"/>
                        <w:r w:rsidRPr="00B92975">
                          <w:rPr>
                            <w:rFonts w:cs="Arial"/>
                            <w:sz w:val="18"/>
                            <w:szCs w:val="18"/>
                            <w:lang w:val="en-GB"/>
                          </w:rPr>
                          <w:t>.</w:t>
                        </w:r>
                      </w:p>
                    </w:tc>
                  </w:tr>
                  <w:tr w:rsidR="00D3329A" w:rsidRPr="00B92975" w14:paraId="3F0DFEED" w14:textId="77777777" w:rsidTr="00BF05D1">
                    <w:trPr>
                      <w:trHeight w:val="462"/>
                    </w:trPr>
                    <w:tc>
                      <w:tcPr>
                        <w:tcW w:w="1563" w:type="dxa"/>
                        <w:vMerge/>
                      </w:tcPr>
                      <w:p w14:paraId="5A171B54" w14:textId="77777777" w:rsidR="00D3329A" w:rsidRPr="00B92975" w:rsidRDefault="00D3329A" w:rsidP="00D3329A">
                        <w:pPr>
                          <w:rPr>
                            <w:rFonts w:cs="Arial"/>
                            <w:b/>
                            <w:sz w:val="18"/>
                            <w:szCs w:val="18"/>
                            <w:lang w:val="mk-MK"/>
                          </w:rPr>
                        </w:pPr>
                      </w:p>
                    </w:tc>
                    <w:tc>
                      <w:tcPr>
                        <w:tcW w:w="1985" w:type="dxa"/>
                      </w:tcPr>
                      <w:p w14:paraId="43804F64" w14:textId="77777777" w:rsidR="00D3329A" w:rsidRPr="00B92975" w:rsidRDefault="00D3329A" w:rsidP="00D3329A">
                        <w:pPr>
                          <w:rPr>
                            <w:rFonts w:cs="Arial"/>
                            <w:sz w:val="18"/>
                            <w:szCs w:val="18"/>
                            <w:lang w:val="mk-MK"/>
                          </w:rPr>
                        </w:pPr>
                        <w:r w:rsidRPr="00B92975">
                          <w:rPr>
                            <w:rFonts w:cs="Arial"/>
                            <w:sz w:val="18"/>
                            <w:szCs w:val="18"/>
                            <w:lang w:val="mk-MK"/>
                          </w:rPr>
                          <w:t>Пазарен ликвидносен ризик</w:t>
                        </w:r>
                      </w:p>
                    </w:tc>
                    <w:tc>
                      <w:tcPr>
                        <w:tcW w:w="5103" w:type="dxa"/>
                      </w:tcPr>
                      <w:p w14:paraId="2C727C0E" w14:textId="77777777" w:rsidR="00D3329A" w:rsidRPr="00B92975" w:rsidRDefault="00D3329A" w:rsidP="00D3329A">
                        <w:pPr>
                          <w:autoSpaceDE w:val="0"/>
                          <w:autoSpaceDN w:val="0"/>
                          <w:adjustRightInd w:val="0"/>
                          <w:jc w:val="both"/>
                          <w:rPr>
                            <w:rFonts w:cs="Arial"/>
                            <w:color w:val="000000"/>
                            <w:sz w:val="18"/>
                            <w:szCs w:val="18"/>
                            <w:lang w:val="en-GB"/>
                          </w:rPr>
                        </w:pPr>
                        <w:r w:rsidRPr="00B92975">
                          <w:rPr>
                            <w:rFonts w:cs="Arial"/>
                            <w:color w:val="000000"/>
                            <w:sz w:val="18"/>
                            <w:szCs w:val="18"/>
                            <w:lang w:val="mk-MK"/>
                          </w:rPr>
                          <w:t>Ризик од загуби поради промени во пазарната вредност на ликвидносните резерви.</w:t>
                        </w:r>
                      </w:p>
                    </w:tc>
                  </w:tr>
                  <w:tr w:rsidR="00D3329A" w:rsidRPr="00B92975" w14:paraId="769D0DE0" w14:textId="77777777" w:rsidTr="00BF05D1">
                    <w:trPr>
                      <w:trHeight w:val="900"/>
                    </w:trPr>
                    <w:tc>
                      <w:tcPr>
                        <w:tcW w:w="1563" w:type="dxa"/>
                        <w:vMerge/>
                      </w:tcPr>
                      <w:p w14:paraId="16F99BC6" w14:textId="77777777" w:rsidR="00D3329A" w:rsidRPr="00B92975" w:rsidRDefault="00D3329A" w:rsidP="00D3329A">
                        <w:pPr>
                          <w:rPr>
                            <w:rFonts w:cs="Arial"/>
                            <w:b/>
                            <w:sz w:val="18"/>
                            <w:szCs w:val="18"/>
                            <w:lang w:val="mk-MK"/>
                          </w:rPr>
                        </w:pPr>
                      </w:p>
                    </w:tc>
                    <w:tc>
                      <w:tcPr>
                        <w:tcW w:w="1985" w:type="dxa"/>
                      </w:tcPr>
                      <w:p w14:paraId="00D9ADF6" w14:textId="77777777" w:rsidR="00D3329A" w:rsidRPr="00B92975" w:rsidRDefault="00D3329A" w:rsidP="00D3329A">
                        <w:pPr>
                          <w:rPr>
                            <w:rFonts w:cs="Arial"/>
                            <w:sz w:val="18"/>
                            <w:szCs w:val="18"/>
                            <w:lang w:val="en-GB"/>
                          </w:rPr>
                        </w:pPr>
                        <w:r w:rsidRPr="00B92975">
                          <w:rPr>
                            <w:rFonts w:cs="Arial"/>
                            <w:sz w:val="18"/>
                            <w:szCs w:val="18"/>
                            <w:lang w:val="mk-MK"/>
                          </w:rPr>
                          <w:t>Ризик од концентрација во ликвидносните резерви (портфолио на обврзници за книговодствена книшка).</w:t>
                        </w:r>
                      </w:p>
                    </w:tc>
                    <w:tc>
                      <w:tcPr>
                        <w:tcW w:w="5103" w:type="dxa"/>
                      </w:tcPr>
                      <w:p w14:paraId="39F35E3B" w14:textId="77777777" w:rsidR="00D3329A" w:rsidRPr="00B92975" w:rsidRDefault="00D3329A" w:rsidP="00D3329A">
                        <w:pPr>
                          <w:autoSpaceDE w:val="0"/>
                          <w:autoSpaceDN w:val="0"/>
                          <w:adjustRightInd w:val="0"/>
                          <w:jc w:val="both"/>
                          <w:rPr>
                            <w:rFonts w:cs="Arial"/>
                            <w:color w:val="000000"/>
                            <w:sz w:val="18"/>
                            <w:szCs w:val="18"/>
                            <w:lang w:val="mk-MK"/>
                          </w:rPr>
                        </w:pPr>
                        <w:r w:rsidRPr="00B92975">
                          <w:rPr>
                            <w:rFonts w:cs="Arial"/>
                            <w:color w:val="000000"/>
                            <w:sz w:val="18"/>
                            <w:szCs w:val="18"/>
                            <w:lang w:val="mk-MK"/>
                          </w:rPr>
                          <w:t>Ризик од загуби поради концентрација на изложеност кон поединечен издавач.</w:t>
                        </w:r>
                      </w:p>
                      <w:p w14:paraId="4872C930" w14:textId="77777777" w:rsidR="00D3329A" w:rsidRPr="00B92975" w:rsidRDefault="00D3329A" w:rsidP="00D3329A">
                        <w:pPr>
                          <w:autoSpaceDE w:val="0"/>
                          <w:autoSpaceDN w:val="0"/>
                          <w:adjustRightInd w:val="0"/>
                          <w:jc w:val="both"/>
                          <w:rPr>
                            <w:rFonts w:cs="Arial"/>
                            <w:color w:val="000000"/>
                            <w:sz w:val="18"/>
                            <w:szCs w:val="18"/>
                            <w:lang w:val="mk-MK"/>
                          </w:rPr>
                        </w:pPr>
                      </w:p>
                    </w:tc>
                  </w:tr>
                  <w:tr w:rsidR="00D3329A" w:rsidRPr="00B92975" w14:paraId="04ED28A5" w14:textId="77777777" w:rsidTr="00BF05D1">
                    <w:trPr>
                      <w:trHeight w:val="900"/>
                    </w:trPr>
                    <w:tc>
                      <w:tcPr>
                        <w:tcW w:w="1563" w:type="dxa"/>
                        <w:vMerge/>
                      </w:tcPr>
                      <w:p w14:paraId="022A499B" w14:textId="77777777" w:rsidR="00D3329A" w:rsidRPr="00B92975" w:rsidRDefault="00D3329A" w:rsidP="00D3329A">
                        <w:pPr>
                          <w:rPr>
                            <w:rFonts w:cs="Arial"/>
                            <w:b/>
                            <w:sz w:val="18"/>
                            <w:szCs w:val="18"/>
                            <w:lang w:val="mk-MK"/>
                          </w:rPr>
                        </w:pPr>
                      </w:p>
                    </w:tc>
                    <w:tc>
                      <w:tcPr>
                        <w:tcW w:w="1985" w:type="dxa"/>
                        <w:tcBorders>
                          <w:top w:val="single" w:sz="4" w:space="0" w:color="757575"/>
                          <w:left w:val="single" w:sz="4" w:space="0" w:color="757575"/>
                          <w:bottom w:val="single" w:sz="4" w:space="0" w:color="757575"/>
                          <w:right w:val="single" w:sz="4" w:space="0" w:color="757575"/>
                        </w:tcBorders>
                        <w:shd w:val="clear" w:color="auto" w:fill="auto"/>
                        <w:vAlign w:val="center"/>
                      </w:tcPr>
                      <w:p w14:paraId="2B568345" w14:textId="77777777" w:rsidR="00D3329A" w:rsidRPr="00B92975" w:rsidRDefault="00D3329A" w:rsidP="00D3329A">
                        <w:pPr>
                          <w:rPr>
                            <w:rFonts w:cs="Arial"/>
                            <w:sz w:val="18"/>
                            <w:szCs w:val="18"/>
                            <w:lang w:val="mk-MK"/>
                          </w:rPr>
                        </w:pPr>
                        <w:r w:rsidRPr="00B92975">
                          <w:rPr>
                            <w:rFonts w:cs="Arial"/>
                            <w:sz w:val="18"/>
                            <w:szCs w:val="18"/>
                            <w:lang w:val="mk-MK"/>
                          </w:rPr>
                          <w:t>Ризик за ликвидност на пазарот што произлегува од ризиците поврзани со климата и животната средина</w:t>
                        </w:r>
                      </w:p>
                    </w:tc>
                    <w:tc>
                      <w:tcPr>
                        <w:tcW w:w="5103" w:type="dxa"/>
                        <w:tcBorders>
                          <w:top w:val="single" w:sz="4" w:space="0" w:color="757575"/>
                          <w:left w:val="nil"/>
                          <w:bottom w:val="single" w:sz="4" w:space="0" w:color="757575"/>
                          <w:right w:val="single" w:sz="4" w:space="0" w:color="757575"/>
                        </w:tcBorders>
                        <w:shd w:val="clear" w:color="auto" w:fill="auto"/>
                        <w:vAlign w:val="center"/>
                      </w:tcPr>
                      <w:p w14:paraId="30F6BE3E" w14:textId="77777777" w:rsidR="00D3329A" w:rsidRPr="00B92975" w:rsidRDefault="00D3329A" w:rsidP="00D3329A">
                        <w:pPr>
                          <w:autoSpaceDE w:val="0"/>
                          <w:autoSpaceDN w:val="0"/>
                          <w:adjustRightInd w:val="0"/>
                          <w:jc w:val="both"/>
                          <w:rPr>
                            <w:rFonts w:cs="Arial"/>
                            <w:sz w:val="18"/>
                            <w:szCs w:val="18"/>
                            <w:lang w:val="mk-MK"/>
                          </w:rPr>
                        </w:pPr>
                        <w:r w:rsidRPr="00B92975">
                          <w:rPr>
                            <w:rFonts w:cs="Arial"/>
                            <w:sz w:val="18"/>
                            <w:szCs w:val="18"/>
                            <w:lang w:val="mk-MK"/>
                          </w:rPr>
                          <w:t>Ризик за ликвидност на пазарот што произлегува од ризиците поврзани со климата и животната средина</w:t>
                        </w:r>
                      </w:p>
                    </w:tc>
                  </w:tr>
                  <w:tr w:rsidR="00D3329A" w:rsidRPr="00B92975" w14:paraId="2BABF623" w14:textId="77777777" w:rsidTr="00BF05D1">
                    <w:trPr>
                      <w:trHeight w:val="900"/>
                    </w:trPr>
                    <w:tc>
                      <w:tcPr>
                        <w:tcW w:w="1563" w:type="dxa"/>
                        <w:vMerge/>
                      </w:tcPr>
                      <w:p w14:paraId="193CE66F" w14:textId="77777777" w:rsidR="00D3329A" w:rsidRPr="00B92975" w:rsidRDefault="00D3329A" w:rsidP="00D3329A">
                        <w:pPr>
                          <w:rPr>
                            <w:rFonts w:cs="Arial"/>
                            <w:b/>
                            <w:sz w:val="18"/>
                            <w:szCs w:val="18"/>
                            <w:lang w:val="mk-MK"/>
                          </w:rPr>
                        </w:pPr>
                      </w:p>
                    </w:tc>
                    <w:tc>
                      <w:tcPr>
                        <w:tcW w:w="1985" w:type="dxa"/>
                        <w:tcBorders>
                          <w:top w:val="nil"/>
                          <w:left w:val="single" w:sz="4" w:space="0" w:color="757575"/>
                          <w:bottom w:val="single" w:sz="4" w:space="0" w:color="757575"/>
                          <w:right w:val="single" w:sz="4" w:space="0" w:color="757575"/>
                        </w:tcBorders>
                        <w:shd w:val="clear" w:color="auto" w:fill="auto"/>
                        <w:vAlign w:val="center"/>
                      </w:tcPr>
                      <w:p w14:paraId="5060F568" w14:textId="77777777" w:rsidR="00D3329A" w:rsidRPr="00B92975" w:rsidRDefault="00D3329A" w:rsidP="00D3329A">
                        <w:pPr>
                          <w:rPr>
                            <w:rFonts w:cs="Arial"/>
                            <w:sz w:val="18"/>
                            <w:szCs w:val="18"/>
                            <w:lang w:val="mk-MK"/>
                          </w:rPr>
                        </w:pPr>
                        <w:r w:rsidRPr="00B92975">
                          <w:rPr>
                            <w:rFonts w:cs="Arial"/>
                            <w:sz w:val="18"/>
                            <w:szCs w:val="18"/>
                            <w:lang w:val="mk-MK"/>
                          </w:rPr>
                          <w:t>Ризик од финансирање што произлегува од ризиците поврзани со климата и животната средина</w:t>
                        </w:r>
                      </w:p>
                    </w:tc>
                    <w:tc>
                      <w:tcPr>
                        <w:tcW w:w="5103" w:type="dxa"/>
                        <w:tcBorders>
                          <w:top w:val="nil"/>
                          <w:left w:val="nil"/>
                          <w:bottom w:val="single" w:sz="4" w:space="0" w:color="757575"/>
                          <w:right w:val="single" w:sz="4" w:space="0" w:color="757575"/>
                        </w:tcBorders>
                        <w:shd w:val="clear" w:color="auto" w:fill="auto"/>
                        <w:vAlign w:val="center"/>
                      </w:tcPr>
                      <w:p w14:paraId="32B382C1" w14:textId="77777777" w:rsidR="00D3329A" w:rsidRPr="00B92975" w:rsidRDefault="00D3329A" w:rsidP="00D3329A">
                        <w:pPr>
                          <w:autoSpaceDE w:val="0"/>
                          <w:autoSpaceDN w:val="0"/>
                          <w:adjustRightInd w:val="0"/>
                          <w:jc w:val="both"/>
                          <w:rPr>
                            <w:rFonts w:cs="Arial"/>
                            <w:sz w:val="18"/>
                            <w:szCs w:val="18"/>
                            <w:lang w:val="mk-MK"/>
                          </w:rPr>
                        </w:pPr>
                        <w:r w:rsidRPr="00B92975">
                          <w:rPr>
                            <w:rFonts w:cs="Arial"/>
                            <w:sz w:val="18"/>
                            <w:szCs w:val="18"/>
                            <w:lang w:val="mk-MK"/>
                          </w:rPr>
                          <w:t>Ризик од финансирање што произлегува од ризиците поврзани со климата и животната средина</w:t>
                        </w:r>
                      </w:p>
                    </w:tc>
                  </w:tr>
                  <w:tr w:rsidR="00D3329A" w:rsidRPr="00B92975" w14:paraId="6FF2FB4D" w14:textId="77777777" w:rsidTr="00BF05D1">
                    <w:trPr>
                      <w:trHeight w:val="133"/>
                    </w:trPr>
                    <w:tc>
                      <w:tcPr>
                        <w:tcW w:w="1563" w:type="dxa"/>
                        <w:vMerge/>
                      </w:tcPr>
                      <w:p w14:paraId="7F0E7640" w14:textId="77777777" w:rsidR="00D3329A" w:rsidRPr="00B92975" w:rsidRDefault="00D3329A" w:rsidP="00D3329A">
                        <w:pPr>
                          <w:rPr>
                            <w:rFonts w:cs="Arial"/>
                            <w:sz w:val="18"/>
                            <w:szCs w:val="18"/>
                            <w:lang w:val="mk-MK"/>
                          </w:rPr>
                        </w:pPr>
                      </w:p>
                    </w:tc>
                    <w:tc>
                      <w:tcPr>
                        <w:tcW w:w="1985" w:type="dxa"/>
                      </w:tcPr>
                      <w:p w14:paraId="68DB77C6" w14:textId="77777777" w:rsidR="00D3329A" w:rsidRPr="00B92975" w:rsidRDefault="00D3329A" w:rsidP="00D3329A">
                        <w:pPr>
                          <w:jc w:val="both"/>
                          <w:rPr>
                            <w:rFonts w:cs="Arial"/>
                            <w:sz w:val="18"/>
                            <w:szCs w:val="18"/>
                            <w:lang w:val="mk-MK"/>
                          </w:rPr>
                        </w:pPr>
                      </w:p>
                    </w:tc>
                    <w:tc>
                      <w:tcPr>
                        <w:tcW w:w="5103" w:type="dxa"/>
                      </w:tcPr>
                      <w:p w14:paraId="468ED0F4" w14:textId="77777777" w:rsidR="00D3329A" w:rsidRPr="00B92975" w:rsidRDefault="00D3329A" w:rsidP="00D3329A">
                        <w:pPr>
                          <w:jc w:val="both"/>
                          <w:rPr>
                            <w:rFonts w:cs="Arial"/>
                            <w:sz w:val="18"/>
                            <w:szCs w:val="18"/>
                            <w:lang w:val="en-GB"/>
                          </w:rPr>
                        </w:pPr>
                      </w:p>
                    </w:tc>
                  </w:tr>
                  <w:tr w:rsidR="00D3329A" w:rsidRPr="00B92975" w:rsidDel="006A13A9" w14:paraId="0B8B5D0E" w14:textId="77777777" w:rsidTr="00BF05D1">
                    <w:trPr>
                      <w:trHeight w:val="401"/>
                    </w:trPr>
                    <w:tc>
                      <w:tcPr>
                        <w:tcW w:w="1563" w:type="dxa"/>
                        <w:vMerge w:val="restart"/>
                      </w:tcPr>
                      <w:p w14:paraId="579FB0EF" w14:textId="77777777" w:rsidR="00D3329A" w:rsidRPr="00B92975" w:rsidRDefault="00D3329A" w:rsidP="00D3329A">
                        <w:pPr>
                          <w:rPr>
                            <w:rFonts w:cs="Arial"/>
                            <w:b/>
                            <w:sz w:val="18"/>
                            <w:szCs w:val="18"/>
                            <w:lang w:val="mk-MK"/>
                          </w:rPr>
                        </w:pPr>
                        <w:r w:rsidRPr="00B92975">
                          <w:rPr>
                            <w:rFonts w:cs="Arial"/>
                            <w:b/>
                            <w:sz w:val="18"/>
                            <w:szCs w:val="18"/>
                            <w:lang w:val="mk-MK"/>
                          </w:rPr>
                          <w:t>Оперативен ризик</w:t>
                        </w:r>
                      </w:p>
                    </w:tc>
                    <w:tc>
                      <w:tcPr>
                        <w:tcW w:w="1985" w:type="dxa"/>
                        <w:tcBorders>
                          <w:top w:val="single" w:sz="4" w:space="0" w:color="auto"/>
                          <w:left w:val="single" w:sz="4" w:space="0" w:color="auto"/>
                          <w:bottom w:val="single" w:sz="4" w:space="0" w:color="757575"/>
                          <w:right w:val="single" w:sz="4" w:space="0" w:color="auto"/>
                        </w:tcBorders>
                        <w:shd w:val="clear" w:color="auto" w:fill="auto"/>
                        <w:vAlign w:val="center"/>
                      </w:tcPr>
                      <w:p w14:paraId="24539353"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Ризик од надворешни и внатрешни измами</w:t>
                        </w:r>
                        <w:r w:rsidRPr="00B92975">
                          <w:rPr>
                            <w:rFonts w:cs="Arial"/>
                            <w:color w:val="000000"/>
                            <w:sz w:val="18"/>
                            <w:szCs w:val="18"/>
                          </w:rPr>
                          <w:t xml:space="preserve"> </w:t>
                        </w:r>
                      </w:p>
                    </w:tc>
                    <w:tc>
                      <w:tcPr>
                        <w:tcW w:w="5103" w:type="dxa"/>
                        <w:vMerge w:val="restart"/>
                      </w:tcPr>
                      <w:p w14:paraId="35478A1B"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загуби поради дејствија од типот наменет за измама, злоупотреба на имот или заобиколување на законот. Ризик од загуби кои произлегуваат од прекршоци, злоупотреба на доверливи информации, несоодветна пазарна пракса, пазарна манипулација, агресивна продажба, инсајдерско тргување, оштетување на физички средства од природна катастрофа или други настани. Ризик од нарушување или откривање на доверливи, чувствителни или приватни информации. Ризик од технолошки слабости и прекршувања на безбедноста, кои вклучуваат хакерство, фишинг, напади на одбивање на услуга, создавање и дистрибуција на малициозен софтвер, неовластен пристап до податоци, корупција или бришење на податоци и следење на податоци. ИТ прекини. Ризик од судски постапки кои произлегуваат од договори и прекршувања на законите</w:t>
                        </w:r>
                      </w:p>
                      <w:p w14:paraId="1489F512" w14:textId="77777777" w:rsidR="00D3329A" w:rsidRPr="00B92975" w:rsidDel="006A13A9" w:rsidRDefault="00D3329A" w:rsidP="00D3329A">
                        <w:pPr>
                          <w:jc w:val="both"/>
                          <w:rPr>
                            <w:rFonts w:cs="Arial"/>
                            <w:sz w:val="18"/>
                            <w:szCs w:val="18"/>
                            <w:lang w:val="mk-MK"/>
                          </w:rPr>
                        </w:pPr>
                      </w:p>
                    </w:tc>
                  </w:tr>
                  <w:tr w:rsidR="00D3329A" w:rsidRPr="00B92975" w:rsidDel="006A13A9" w14:paraId="748620F6" w14:textId="77777777" w:rsidTr="00BF05D1">
                    <w:trPr>
                      <w:trHeight w:val="401"/>
                    </w:trPr>
                    <w:tc>
                      <w:tcPr>
                        <w:tcW w:w="1563" w:type="dxa"/>
                        <w:vMerge/>
                      </w:tcPr>
                      <w:p w14:paraId="7C7D8752" w14:textId="77777777" w:rsidR="00D3329A" w:rsidRPr="00B92975" w:rsidRDefault="00D3329A" w:rsidP="00D3329A">
                        <w:pPr>
                          <w:rPr>
                            <w:rFonts w:cs="Arial"/>
                            <w:b/>
                            <w:sz w:val="18"/>
                            <w:szCs w:val="18"/>
                            <w:lang w:val="mk-MK"/>
                          </w:rPr>
                        </w:pPr>
                      </w:p>
                    </w:tc>
                    <w:tc>
                      <w:tcPr>
                        <w:tcW w:w="1985" w:type="dxa"/>
                        <w:tcBorders>
                          <w:top w:val="nil"/>
                          <w:left w:val="single" w:sz="4" w:space="0" w:color="auto"/>
                          <w:bottom w:val="single" w:sz="4" w:space="0" w:color="757575"/>
                          <w:right w:val="single" w:sz="4" w:space="0" w:color="auto"/>
                        </w:tcBorders>
                        <w:shd w:val="clear" w:color="auto" w:fill="auto"/>
                        <w:vAlign w:val="center"/>
                      </w:tcPr>
                      <w:p w14:paraId="76BD5F8E"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Ризик од човечки грешки</w:t>
                        </w:r>
                      </w:p>
                    </w:tc>
                    <w:tc>
                      <w:tcPr>
                        <w:tcW w:w="5103" w:type="dxa"/>
                        <w:vMerge/>
                      </w:tcPr>
                      <w:p w14:paraId="5A07B3B6" w14:textId="77777777" w:rsidR="00D3329A" w:rsidRPr="00B92975" w:rsidDel="006A13A9" w:rsidRDefault="00D3329A" w:rsidP="00D3329A">
                        <w:pPr>
                          <w:jc w:val="both"/>
                          <w:rPr>
                            <w:rFonts w:cs="Arial"/>
                            <w:sz w:val="18"/>
                            <w:szCs w:val="18"/>
                            <w:lang w:val="mk-MK"/>
                          </w:rPr>
                        </w:pPr>
                      </w:p>
                    </w:tc>
                  </w:tr>
                  <w:tr w:rsidR="00D3329A" w:rsidRPr="00B92975" w:rsidDel="006A13A9" w14:paraId="56F035FA" w14:textId="77777777" w:rsidTr="00BF05D1">
                    <w:trPr>
                      <w:trHeight w:val="401"/>
                    </w:trPr>
                    <w:tc>
                      <w:tcPr>
                        <w:tcW w:w="1563" w:type="dxa"/>
                        <w:vMerge/>
                      </w:tcPr>
                      <w:p w14:paraId="58AB6105" w14:textId="77777777" w:rsidR="00D3329A" w:rsidRPr="00B92975" w:rsidRDefault="00D3329A" w:rsidP="00D3329A">
                        <w:pPr>
                          <w:rPr>
                            <w:rFonts w:cs="Arial"/>
                            <w:b/>
                            <w:sz w:val="18"/>
                            <w:szCs w:val="18"/>
                            <w:lang w:val="mk-MK"/>
                          </w:rPr>
                        </w:pPr>
                      </w:p>
                    </w:tc>
                    <w:tc>
                      <w:tcPr>
                        <w:tcW w:w="1985" w:type="dxa"/>
                        <w:tcBorders>
                          <w:top w:val="nil"/>
                          <w:left w:val="single" w:sz="4" w:space="0" w:color="auto"/>
                          <w:bottom w:val="nil"/>
                          <w:right w:val="single" w:sz="4" w:space="0" w:color="auto"/>
                        </w:tcBorders>
                        <w:shd w:val="clear" w:color="auto" w:fill="auto"/>
                        <w:vAlign w:val="center"/>
                      </w:tcPr>
                      <w:p w14:paraId="41B5ED22"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Ризик од недостатоци и проблеми со системот за плаќање</w:t>
                        </w:r>
                      </w:p>
                    </w:tc>
                    <w:tc>
                      <w:tcPr>
                        <w:tcW w:w="5103" w:type="dxa"/>
                        <w:vMerge/>
                      </w:tcPr>
                      <w:p w14:paraId="7B5715E7" w14:textId="77777777" w:rsidR="00D3329A" w:rsidRPr="00B92975" w:rsidDel="006A13A9" w:rsidRDefault="00D3329A" w:rsidP="00D3329A">
                        <w:pPr>
                          <w:jc w:val="both"/>
                          <w:rPr>
                            <w:rFonts w:cs="Arial"/>
                            <w:sz w:val="18"/>
                            <w:szCs w:val="18"/>
                            <w:lang w:val="mk-MK"/>
                          </w:rPr>
                        </w:pPr>
                      </w:p>
                    </w:tc>
                  </w:tr>
                  <w:tr w:rsidR="00D3329A" w:rsidRPr="00B92975" w:rsidDel="006A13A9" w14:paraId="79E2FD30" w14:textId="77777777" w:rsidTr="00BF05D1">
                    <w:trPr>
                      <w:trHeight w:val="401"/>
                    </w:trPr>
                    <w:tc>
                      <w:tcPr>
                        <w:tcW w:w="1563" w:type="dxa"/>
                        <w:vMerge/>
                      </w:tcPr>
                      <w:p w14:paraId="5853A9C9" w14:textId="77777777" w:rsidR="00D3329A" w:rsidRPr="00B92975" w:rsidRDefault="00D3329A" w:rsidP="00D3329A">
                        <w:pPr>
                          <w:rPr>
                            <w:rFonts w:cs="Arial"/>
                            <w:b/>
                            <w:sz w:val="18"/>
                            <w:szCs w:val="18"/>
                            <w:lang w:val="mk-MK"/>
                          </w:rPr>
                        </w:pPr>
                      </w:p>
                    </w:tc>
                    <w:tc>
                      <w:tcPr>
                        <w:tcW w:w="1985" w:type="dxa"/>
                        <w:tcBorders>
                          <w:top w:val="single" w:sz="4" w:space="0" w:color="757575"/>
                          <w:left w:val="single" w:sz="4" w:space="0" w:color="auto"/>
                          <w:bottom w:val="single" w:sz="4" w:space="0" w:color="757575"/>
                          <w:right w:val="single" w:sz="4" w:space="0" w:color="auto"/>
                        </w:tcBorders>
                        <w:shd w:val="clear" w:color="auto" w:fill="auto"/>
                        <w:vAlign w:val="center"/>
                      </w:tcPr>
                      <w:p w14:paraId="1CA5686D"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ИТ</w:t>
                        </w:r>
                        <w:r w:rsidRPr="00B92975">
                          <w:rPr>
                            <w:rFonts w:cs="Arial"/>
                            <w:color w:val="000000"/>
                            <w:sz w:val="18"/>
                            <w:szCs w:val="18"/>
                          </w:rPr>
                          <w:t xml:space="preserve"> </w:t>
                        </w:r>
                        <w:r w:rsidRPr="00B92975">
                          <w:rPr>
                            <w:rFonts w:cs="Arial"/>
                            <w:color w:val="000000"/>
                            <w:sz w:val="18"/>
                            <w:szCs w:val="18"/>
                            <w:lang w:val="mk-MK"/>
                          </w:rPr>
                          <w:t>и сајбер ризик</w:t>
                        </w:r>
                      </w:p>
                    </w:tc>
                    <w:tc>
                      <w:tcPr>
                        <w:tcW w:w="5103" w:type="dxa"/>
                        <w:vMerge/>
                      </w:tcPr>
                      <w:p w14:paraId="10A3E05D" w14:textId="77777777" w:rsidR="00D3329A" w:rsidRPr="00B92975" w:rsidDel="006A13A9" w:rsidRDefault="00D3329A" w:rsidP="00D3329A">
                        <w:pPr>
                          <w:jc w:val="both"/>
                          <w:rPr>
                            <w:rFonts w:cs="Arial"/>
                            <w:sz w:val="18"/>
                            <w:szCs w:val="18"/>
                            <w:lang w:val="mk-MK"/>
                          </w:rPr>
                        </w:pPr>
                      </w:p>
                    </w:tc>
                  </w:tr>
                  <w:tr w:rsidR="00D3329A" w:rsidRPr="00B92975" w:rsidDel="006A13A9" w14:paraId="203C3267" w14:textId="77777777" w:rsidTr="00BF05D1">
                    <w:trPr>
                      <w:trHeight w:val="401"/>
                    </w:trPr>
                    <w:tc>
                      <w:tcPr>
                        <w:tcW w:w="1563" w:type="dxa"/>
                        <w:vMerge/>
                      </w:tcPr>
                      <w:p w14:paraId="14181D7D" w14:textId="77777777" w:rsidR="00D3329A" w:rsidRPr="00B92975" w:rsidRDefault="00D3329A" w:rsidP="00D3329A">
                        <w:pPr>
                          <w:rPr>
                            <w:rFonts w:cs="Arial"/>
                            <w:b/>
                            <w:sz w:val="18"/>
                            <w:szCs w:val="18"/>
                            <w:lang w:val="mk-MK"/>
                          </w:rPr>
                        </w:pPr>
                      </w:p>
                    </w:tc>
                    <w:tc>
                      <w:tcPr>
                        <w:tcW w:w="1985" w:type="dxa"/>
                        <w:tcBorders>
                          <w:top w:val="nil"/>
                          <w:left w:val="single" w:sz="4" w:space="0" w:color="auto"/>
                          <w:bottom w:val="single" w:sz="4" w:space="0" w:color="757575"/>
                          <w:right w:val="single" w:sz="4" w:space="0" w:color="auto"/>
                        </w:tcBorders>
                        <w:shd w:val="clear" w:color="auto" w:fill="auto"/>
                        <w:vAlign w:val="center"/>
                      </w:tcPr>
                      <w:p w14:paraId="7C301268"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Сложени процедури и процеси</w:t>
                        </w:r>
                        <w:r w:rsidRPr="00B92975">
                          <w:rPr>
                            <w:rFonts w:cs="Arial"/>
                            <w:color w:val="000000"/>
                            <w:sz w:val="18"/>
                            <w:szCs w:val="18"/>
                          </w:rPr>
                          <w:t xml:space="preserve"> </w:t>
                        </w:r>
                      </w:p>
                    </w:tc>
                    <w:tc>
                      <w:tcPr>
                        <w:tcW w:w="5103" w:type="dxa"/>
                        <w:vMerge/>
                      </w:tcPr>
                      <w:p w14:paraId="5B3F235B" w14:textId="77777777" w:rsidR="00D3329A" w:rsidRPr="00B92975" w:rsidDel="006A13A9" w:rsidRDefault="00D3329A" w:rsidP="00D3329A">
                        <w:pPr>
                          <w:jc w:val="both"/>
                          <w:rPr>
                            <w:rFonts w:cs="Arial"/>
                            <w:sz w:val="18"/>
                            <w:szCs w:val="18"/>
                            <w:lang w:val="mk-MK"/>
                          </w:rPr>
                        </w:pPr>
                      </w:p>
                    </w:tc>
                  </w:tr>
                  <w:tr w:rsidR="00D3329A" w:rsidRPr="00B92975" w:rsidDel="006A13A9" w14:paraId="258B6418" w14:textId="77777777" w:rsidTr="00BF05D1">
                    <w:trPr>
                      <w:trHeight w:val="401"/>
                    </w:trPr>
                    <w:tc>
                      <w:tcPr>
                        <w:tcW w:w="1563" w:type="dxa"/>
                        <w:vMerge/>
                      </w:tcPr>
                      <w:p w14:paraId="406652D0" w14:textId="77777777" w:rsidR="00D3329A" w:rsidRPr="00B92975" w:rsidRDefault="00D3329A" w:rsidP="00D3329A">
                        <w:pPr>
                          <w:rPr>
                            <w:rFonts w:cs="Arial"/>
                            <w:b/>
                            <w:sz w:val="18"/>
                            <w:szCs w:val="18"/>
                            <w:lang w:val="mk-MK"/>
                          </w:rPr>
                        </w:pPr>
                      </w:p>
                    </w:tc>
                    <w:tc>
                      <w:tcPr>
                        <w:tcW w:w="1985" w:type="dxa"/>
                        <w:tcBorders>
                          <w:top w:val="nil"/>
                          <w:left w:val="single" w:sz="4" w:space="0" w:color="auto"/>
                          <w:bottom w:val="single" w:sz="4" w:space="0" w:color="757575"/>
                          <w:right w:val="single" w:sz="4" w:space="0" w:color="auto"/>
                        </w:tcBorders>
                        <w:shd w:val="clear" w:color="auto" w:fill="auto"/>
                        <w:vAlign w:val="center"/>
                      </w:tcPr>
                      <w:p w14:paraId="3083D4A6"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Ризик од кражба</w:t>
                        </w:r>
                      </w:p>
                    </w:tc>
                    <w:tc>
                      <w:tcPr>
                        <w:tcW w:w="5103" w:type="dxa"/>
                        <w:vMerge/>
                      </w:tcPr>
                      <w:p w14:paraId="4C81AB09" w14:textId="77777777" w:rsidR="00D3329A" w:rsidRPr="00B92975" w:rsidDel="006A13A9" w:rsidRDefault="00D3329A" w:rsidP="00D3329A">
                        <w:pPr>
                          <w:jc w:val="both"/>
                          <w:rPr>
                            <w:rFonts w:cs="Arial"/>
                            <w:sz w:val="18"/>
                            <w:szCs w:val="18"/>
                            <w:lang w:val="mk-MK"/>
                          </w:rPr>
                        </w:pPr>
                      </w:p>
                    </w:tc>
                  </w:tr>
                  <w:tr w:rsidR="00D3329A" w:rsidRPr="00B92975" w:rsidDel="006A13A9" w14:paraId="7D6863FC" w14:textId="77777777" w:rsidTr="00BF05D1">
                    <w:trPr>
                      <w:trHeight w:val="401"/>
                    </w:trPr>
                    <w:tc>
                      <w:tcPr>
                        <w:tcW w:w="1563" w:type="dxa"/>
                        <w:vMerge/>
                      </w:tcPr>
                      <w:p w14:paraId="6F8BAECE" w14:textId="77777777" w:rsidR="00D3329A" w:rsidRPr="00B92975" w:rsidRDefault="00D3329A" w:rsidP="00D3329A">
                        <w:pPr>
                          <w:rPr>
                            <w:rFonts w:cs="Arial"/>
                            <w:b/>
                            <w:sz w:val="18"/>
                            <w:szCs w:val="18"/>
                            <w:lang w:val="mk-MK"/>
                          </w:rPr>
                        </w:pPr>
                      </w:p>
                    </w:tc>
                    <w:tc>
                      <w:tcPr>
                        <w:tcW w:w="1985" w:type="dxa"/>
                        <w:tcBorders>
                          <w:top w:val="nil"/>
                          <w:left w:val="single" w:sz="4" w:space="0" w:color="auto"/>
                          <w:bottom w:val="single" w:sz="4" w:space="0" w:color="757575"/>
                          <w:right w:val="single" w:sz="4" w:space="0" w:color="auto"/>
                        </w:tcBorders>
                        <w:shd w:val="clear" w:color="auto" w:fill="auto"/>
                        <w:vAlign w:val="center"/>
                      </w:tcPr>
                      <w:p w14:paraId="5CBDF69E"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Правен ризик</w:t>
                        </w:r>
                      </w:p>
                    </w:tc>
                    <w:tc>
                      <w:tcPr>
                        <w:tcW w:w="5103" w:type="dxa"/>
                        <w:vMerge/>
                      </w:tcPr>
                      <w:p w14:paraId="7EAAE6E2" w14:textId="77777777" w:rsidR="00D3329A" w:rsidRPr="00B92975" w:rsidDel="006A13A9" w:rsidRDefault="00D3329A" w:rsidP="00D3329A">
                        <w:pPr>
                          <w:jc w:val="both"/>
                          <w:rPr>
                            <w:rFonts w:cs="Arial"/>
                            <w:sz w:val="18"/>
                            <w:szCs w:val="18"/>
                            <w:lang w:val="mk-MK"/>
                          </w:rPr>
                        </w:pPr>
                      </w:p>
                    </w:tc>
                  </w:tr>
                  <w:tr w:rsidR="00D3329A" w:rsidRPr="00B92975" w:rsidDel="006A13A9" w14:paraId="15712450" w14:textId="77777777" w:rsidTr="00BF05D1">
                    <w:trPr>
                      <w:trHeight w:val="401"/>
                    </w:trPr>
                    <w:tc>
                      <w:tcPr>
                        <w:tcW w:w="1563" w:type="dxa"/>
                        <w:vMerge/>
                      </w:tcPr>
                      <w:p w14:paraId="28D0AC5D" w14:textId="77777777" w:rsidR="00D3329A" w:rsidRPr="00B92975" w:rsidRDefault="00D3329A" w:rsidP="00D3329A">
                        <w:pPr>
                          <w:rPr>
                            <w:rFonts w:cs="Arial"/>
                            <w:b/>
                            <w:sz w:val="18"/>
                            <w:szCs w:val="18"/>
                            <w:lang w:val="mk-MK"/>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8714253" w14:textId="77777777" w:rsidR="00D3329A" w:rsidRPr="00B92975" w:rsidDel="006A13A9" w:rsidRDefault="00D3329A" w:rsidP="00D3329A">
                        <w:pPr>
                          <w:rPr>
                            <w:rFonts w:cs="Arial"/>
                            <w:sz w:val="18"/>
                            <w:szCs w:val="18"/>
                            <w:lang w:val="mk-MK"/>
                          </w:rPr>
                        </w:pPr>
                        <w:r w:rsidRPr="00B92975">
                          <w:rPr>
                            <w:rFonts w:cs="Arial"/>
                            <w:color w:val="000000"/>
                            <w:sz w:val="18"/>
                            <w:szCs w:val="18"/>
                            <w:lang w:val="mk-MK"/>
                          </w:rPr>
                          <w:t xml:space="preserve">ИТ ризик </w:t>
                        </w:r>
                        <w:r w:rsidRPr="00B92975">
                          <w:rPr>
                            <w:rFonts w:cs="Arial"/>
                            <w:color w:val="000000"/>
                            <w:sz w:val="18"/>
                            <w:szCs w:val="18"/>
                          </w:rPr>
                          <w:t>што произлегува од ризиците поврзани со климата и животната средина</w:t>
                        </w:r>
                      </w:p>
                    </w:tc>
                    <w:tc>
                      <w:tcPr>
                        <w:tcW w:w="5103" w:type="dxa"/>
                        <w:vMerge/>
                      </w:tcPr>
                      <w:p w14:paraId="5C0A627C" w14:textId="77777777" w:rsidR="00D3329A" w:rsidRPr="00B92975" w:rsidDel="006A13A9" w:rsidRDefault="00D3329A" w:rsidP="00D3329A">
                        <w:pPr>
                          <w:jc w:val="both"/>
                          <w:rPr>
                            <w:rFonts w:cs="Arial"/>
                            <w:sz w:val="18"/>
                            <w:szCs w:val="18"/>
                            <w:lang w:val="mk-MK"/>
                          </w:rPr>
                        </w:pPr>
                      </w:p>
                    </w:tc>
                  </w:tr>
                  <w:tr w:rsidR="00D3329A" w:rsidRPr="00B92975" w14:paraId="6C03CE12" w14:textId="77777777" w:rsidTr="00BF05D1">
                    <w:trPr>
                      <w:trHeight w:val="505"/>
                    </w:trPr>
                    <w:tc>
                      <w:tcPr>
                        <w:tcW w:w="1563" w:type="dxa"/>
                        <w:vMerge w:val="restart"/>
                      </w:tcPr>
                      <w:p w14:paraId="308ACECE" w14:textId="77777777" w:rsidR="00D3329A" w:rsidRPr="00B92975" w:rsidRDefault="00D3329A" w:rsidP="00D3329A">
                        <w:pPr>
                          <w:rPr>
                            <w:rFonts w:cs="Arial"/>
                            <w:b/>
                            <w:sz w:val="18"/>
                            <w:szCs w:val="18"/>
                            <w:lang w:val="mk-MK"/>
                          </w:rPr>
                        </w:pPr>
                        <w:r w:rsidRPr="00B92975">
                          <w:rPr>
                            <w:rFonts w:cs="Arial"/>
                            <w:b/>
                            <w:sz w:val="18"/>
                            <w:szCs w:val="18"/>
                            <w:lang w:val="mk-MK"/>
                          </w:rPr>
                          <w:t>Останати ризици</w:t>
                        </w:r>
                      </w:p>
                    </w:tc>
                    <w:tc>
                      <w:tcPr>
                        <w:tcW w:w="1985" w:type="dxa"/>
                      </w:tcPr>
                      <w:p w14:paraId="582C8216" w14:textId="77777777" w:rsidR="00D3329A" w:rsidRPr="00B92975" w:rsidRDefault="00D3329A" w:rsidP="00D3329A">
                        <w:pPr>
                          <w:rPr>
                            <w:rFonts w:cs="Arial"/>
                            <w:sz w:val="18"/>
                            <w:szCs w:val="18"/>
                            <w:lang w:val="mk-MK"/>
                          </w:rPr>
                        </w:pPr>
                        <w:r w:rsidRPr="00B92975">
                          <w:rPr>
                            <w:rFonts w:cs="Arial"/>
                            <w:sz w:val="18"/>
                            <w:szCs w:val="18"/>
                            <w:lang w:val="mk-MK"/>
                          </w:rPr>
                          <w:t>Стратегиски ризик</w:t>
                        </w:r>
                      </w:p>
                    </w:tc>
                    <w:tc>
                      <w:tcPr>
                        <w:tcW w:w="5103" w:type="dxa"/>
                      </w:tcPr>
                      <w:p w14:paraId="3E876A3F"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загуба кој произлегува од неправилни стратегиски одлуки, неправилна имплементација на деловните одлуки и слаба реакција на промените на деловното окружување.</w:t>
                        </w:r>
                      </w:p>
                    </w:tc>
                  </w:tr>
                  <w:tr w:rsidR="00D3329A" w:rsidRPr="00B92975" w14:paraId="325C6D31" w14:textId="77777777" w:rsidTr="00BF05D1">
                    <w:trPr>
                      <w:trHeight w:val="298"/>
                    </w:trPr>
                    <w:tc>
                      <w:tcPr>
                        <w:tcW w:w="1563" w:type="dxa"/>
                        <w:vMerge/>
                      </w:tcPr>
                      <w:p w14:paraId="69058AE9" w14:textId="77777777" w:rsidR="00D3329A" w:rsidRPr="00B92975" w:rsidRDefault="00D3329A" w:rsidP="00D3329A">
                        <w:pPr>
                          <w:jc w:val="both"/>
                          <w:rPr>
                            <w:rFonts w:cs="Arial"/>
                            <w:b/>
                            <w:sz w:val="18"/>
                            <w:szCs w:val="18"/>
                            <w:lang w:val="mk-MK"/>
                          </w:rPr>
                        </w:pPr>
                      </w:p>
                    </w:tc>
                    <w:tc>
                      <w:tcPr>
                        <w:tcW w:w="1985" w:type="dxa"/>
                      </w:tcPr>
                      <w:p w14:paraId="14AF0EF3" w14:textId="77777777" w:rsidR="00D3329A" w:rsidRPr="00B92975" w:rsidRDefault="00D3329A" w:rsidP="00D3329A">
                        <w:pPr>
                          <w:rPr>
                            <w:rFonts w:cs="Arial"/>
                            <w:sz w:val="18"/>
                            <w:szCs w:val="18"/>
                            <w:lang w:val="mk-MK"/>
                          </w:rPr>
                        </w:pPr>
                        <w:r w:rsidRPr="00B92975">
                          <w:rPr>
                            <w:rFonts w:cs="Arial"/>
                            <w:sz w:val="18"/>
                            <w:szCs w:val="18"/>
                            <w:lang w:val="mk-MK"/>
                          </w:rPr>
                          <w:t>Репутациски ризик</w:t>
                        </w:r>
                      </w:p>
                    </w:tc>
                    <w:tc>
                      <w:tcPr>
                        <w:tcW w:w="5103" w:type="dxa"/>
                      </w:tcPr>
                      <w:p w14:paraId="1ADD2EE3" w14:textId="77777777" w:rsidR="00D3329A" w:rsidRPr="00B92975" w:rsidRDefault="00D3329A" w:rsidP="00D3329A">
                        <w:pPr>
                          <w:jc w:val="both"/>
                          <w:rPr>
                            <w:rFonts w:cs="Arial"/>
                            <w:color w:val="222222"/>
                            <w:sz w:val="18"/>
                            <w:szCs w:val="18"/>
                            <w:lang w:val="mk-MK"/>
                          </w:rPr>
                        </w:pPr>
                        <w:r w:rsidRPr="00B92975">
                          <w:rPr>
                            <w:rFonts w:cs="Arial"/>
                            <w:sz w:val="18"/>
                            <w:szCs w:val="18"/>
                            <w:lang w:val="mk-MK"/>
                          </w:rPr>
                          <w:t>Ризик од загуба кој произлегува од негативната перцепција за банката од страна на клиентите, деловните партнери, сопствениците, инвеститорите и надлежните супервизори. Овој ризик може да се реализира преку правни спорови, намалување во бројот на клиенти, жалби и негативни реакции на клиентите и финансиска загуба.</w:t>
                        </w:r>
                      </w:p>
                    </w:tc>
                  </w:tr>
                  <w:tr w:rsidR="00D3329A" w:rsidRPr="00B92975" w14:paraId="7A5D9DC2" w14:textId="77777777" w:rsidTr="00BF05D1">
                    <w:trPr>
                      <w:trHeight w:val="602"/>
                    </w:trPr>
                    <w:tc>
                      <w:tcPr>
                        <w:tcW w:w="1563" w:type="dxa"/>
                        <w:vMerge/>
                      </w:tcPr>
                      <w:p w14:paraId="1ED5C985" w14:textId="77777777" w:rsidR="00D3329A" w:rsidRPr="00B92975" w:rsidRDefault="00D3329A" w:rsidP="00D3329A">
                        <w:pPr>
                          <w:rPr>
                            <w:rFonts w:cs="Arial"/>
                            <w:b/>
                            <w:sz w:val="18"/>
                            <w:szCs w:val="18"/>
                            <w:lang w:val="mk-MK"/>
                          </w:rPr>
                        </w:pPr>
                      </w:p>
                    </w:tc>
                    <w:tc>
                      <w:tcPr>
                        <w:tcW w:w="1985" w:type="dxa"/>
                      </w:tcPr>
                      <w:p w14:paraId="0AA0A932" w14:textId="77777777" w:rsidR="00D3329A" w:rsidRPr="00B92975" w:rsidRDefault="00D3329A" w:rsidP="00D3329A">
                        <w:pPr>
                          <w:rPr>
                            <w:rFonts w:cs="Arial"/>
                            <w:sz w:val="18"/>
                            <w:szCs w:val="18"/>
                            <w:lang w:val="mk-MK"/>
                          </w:rPr>
                        </w:pPr>
                        <w:r w:rsidRPr="00B92975">
                          <w:rPr>
                            <w:rFonts w:cs="Arial"/>
                            <w:sz w:val="18"/>
                            <w:szCs w:val="18"/>
                            <w:lang w:val="mk-MK"/>
                          </w:rPr>
                          <w:t>Ризик на профитабилност-маргини</w:t>
                        </w:r>
                      </w:p>
                    </w:tc>
                    <w:tc>
                      <w:tcPr>
                        <w:tcW w:w="5103" w:type="dxa"/>
                      </w:tcPr>
                      <w:p w14:paraId="50878747" w14:textId="77777777" w:rsidR="00D3329A" w:rsidRPr="00B92975" w:rsidRDefault="00D3329A" w:rsidP="00D3329A">
                        <w:pPr>
                          <w:jc w:val="both"/>
                          <w:rPr>
                            <w:rFonts w:cs="Arial"/>
                            <w:sz w:val="18"/>
                            <w:szCs w:val="18"/>
                            <w:lang w:val="mk-MK"/>
                          </w:rPr>
                        </w:pPr>
                        <w:r w:rsidRPr="00B92975">
                          <w:rPr>
                            <w:rFonts w:cs="Arial"/>
                            <w:sz w:val="18"/>
                            <w:szCs w:val="18"/>
                            <w:lang w:val="mk-MK"/>
                          </w:rPr>
                          <w:t xml:space="preserve">Ризик од загуба кој произлегува од неадекватен состав и диверзификација на приходите и од неспособноста на банката да обезбеди адекватно и одржливо ниво на профитабилност. </w:t>
                        </w:r>
                      </w:p>
                    </w:tc>
                  </w:tr>
                  <w:tr w:rsidR="00D3329A" w:rsidRPr="00B92975" w14:paraId="0B1A26E3" w14:textId="77777777" w:rsidTr="00BF05D1">
                    <w:trPr>
                      <w:trHeight w:val="274"/>
                    </w:trPr>
                    <w:tc>
                      <w:tcPr>
                        <w:tcW w:w="1563" w:type="dxa"/>
                        <w:vMerge/>
                      </w:tcPr>
                      <w:p w14:paraId="747A1C0D" w14:textId="77777777" w:rsidR="00D3329A" w:rsidRPr="00B92975" w:rsidRDefault="00D3329A" w:rsidP="00D3329A">
                        <w:pPr>
                          <w:rPr>
                            <w:rFonts w:cs="Arial"/>
                            <w:b/>
                            <w:sz w:val="18"/>
                            <w:szCs w:val="18"/>
                            <w:lang w:val="mk-MK"/>
                          </w:rPr>
                        </w:pPr>
                      </w:p>
                    </w:tc>
                    <w:tc>
                      <w:tcPr>
                        <w:tcW w:w="1985" w:type="dxa"/>
                      </w:tcPr>
                      <w:p w14:paraId="0B93133D" w14:textId="77777777" w:rsidR="00D3329A" w:rsidRPr="00B92975" w:rsidRDefault="00D3329A" w:rsidP="00D3329A">
                        <w:pPr>
                          <w:rPr>
                            <w:rFonts w:cs="Arial"/>
                            <w:sz w:val="18"/>
                            <w:szCs w:val="18"/>
                            <w:lang w:val="mk-MK"/>
                          </w:rPr>
                        </w:pPr>
                        <w:r w:rsidRPr="00B92975">
                          <w:rPr>
                            <w:rFonts w:cs="Arial"/>
                            <w:sz w:val="18"/>
                            <w:szCs w:val="18"/>
                            <w:lang w:val="mk-MK"/>
                          </w:rPr>
                          <w:t>Политички ризик</w:t>
                        </w:r>
                      </w:p>
                    </w:tc>
                    <w:tc>
                      <w:tcPr>
                        <w:tcW w:w="5103" w:type="dxa"/>
                      </w:tcPr>
                      <w:p w14:paraId="2455D005" w14:textId="77777777" w:rsidR="00D3329A" w:rsidRPr="00B92975" w:rsidRDefault="00D3329A" w:rsidP="00D3329A">
                        <w:pPr>
                          <w:jc w:val="both"/>
                          <w:rPr>
                            <w:rFonts w:cs="Arial"/>
                            <w:color w:val="000000"/>
                            <w:sz w:val="18"/>
                            <w:szCs w:val="18"/>
                            <w:lang w:val="mk-MK"/>
                          </w:rPr>
                        </w:pPr>
                        <w:r w:rsidRPr="00B92975">
                          <w:rPr>
                            <w:rFonts w:cs="Arial"/>
                            <w:sz w:val="18"/>
                            <w:szCs w:val="18"/>
                            <w:lang w:val="mk-MK"/>
                          </w:rPr>
                          <w:t>Ризик од политичка нестабилност</w:t>
                        </w:r>
                      </w:p>
                    </w:tc>
                  </w:tr>
                  <w:tr w:rsidR="00D3329A" w:rsidRPr="00B92975" w14:paraId="0B33C834" w14:textId="77777777" w:rsidTr="00BF05D1">
                    <w:trPr>
                      <w:trHeight w:val="274"/>
                    </w:trPr>
                    <w:tc>
                      <w:tcPr>
                        <w:tcW w:w="1563" w:type="dxa"/>
                        <w:vMerge/>
                      </w:tcPr>
                      <w:p w14:paraId="0552887E" w14:textId="77777777" w:rsidR="00D3329A" w:rsidRPr="00B92975" w:rsidRDefault="00D3329A" w:rsidP="00D3329A">
                        <w:pPr>
                          <w:rPr>
                            <w:rFonts w:cs="Arial"/>
                            <w:b/>
                            <w:sz w:val="18"/>
                            <w:szCs w:val="18"/>
                            <w:lang w:val="mk-MK"/>
                          </w:rPr>
                        </w:pPr>
                      </w:p>
                    </w:tc>
                    <w:tc>
                      <w:tcPr>
                        <w:tcW w:w="1985" w:type="dxa"/>
                      </w:tcPr>
                      <w:p w14:paraId="4A4AFBD3" w14:textId="77777777" w:rsidR="00D3329A" w:rsidRPr="00B92975" w:rsidRDefault="00D3329A" w:rsidP="00D3329A">
                        <w:pPr>
                          <w:rPr>
                            <w:rFonts w:cs="Arial"/>
                            <w:sz w:val="18"/>
                            <w:szCs w:val="18"/>
                            <w:lang w:val="mk-MK"/>
                          </w:rPr>
                        </w:pPr>
                        <w:r w:rsidRPr="00B92975">
                          <w:rPr>
                            <w:rFonts w:cs="Arial"/>
                            <w:sz w:val="18"/>
                            <w:szCs w:val="18"/>
                            <w:lang w:val="mk-MK"/>
                          </w:rPr>
                          <w:t>Ризик од усогласеност со регулатива</w:t>
                        </w:r>
                      </w:p>
                    </w:tc>
                    <w:tc>
                      <w:tcPr>
                        <w:tcW w:w="5103" w:type="dxa"/>
                      </w:tcPr>
                      <w:p w14:paraId="39ABB461" w14:textId="77777777" w:rsidR="00D3329A" w:rsidRPr="00B92975" w:rsidRDefault="00D3329A" w:rsidP="00D3329A">
                        <w:pPr>
                          <w:jc w:val="both"/>
                          <w:rPr>
                            <w:rFonts w:cs="Arial"/>
                            <w:sz w:val="18"/>
                            <w:szCs w:val="18"/>
                            <w:lang w:val="mk-MK"/>
                          </w:rPr>
                        </w:pPr>
                        <w:r w:rsidRPr="00B92975">
                          <w:rPr>
                            <w:rFonts w:cs="Arial"/>
                            <w:sz w:val="18"/>
                            <w:szCs w:val="18"/>
                            <w:lang w:val="mk-MK"/>
                          </w:rPr>
                          <w:t>Ризик од неуспехот да се развијат мерки за да се избегне злоупотребата на доверената моќ или позиција, примање или нудење на непотребна награда за добивка на приватни или трети страни. Ризик од неуспехот да се развие и администрира ефикасна програма за спречување на перење пари. Ризик од неисполнување на корпоративните одбранбени ризици во однос на правната, безбедноста, издржливоста, усогласеноста и ревизијата.</w:t>
                        </w:r>
                      </w:p>
                    </w:tc>
                  </w:tr>
                  <w:tr w:rsidR="00D3329A" w:rsidRPr="00B92975" w14:paraId="4A9F8090" w14:textId="77777777" w:rsidTr="00BF05D1">
                    <w:trPr>
                      <w:trHeight w:val="274"/>
                    </w:trPr>
                    <w:tc>
                      <w:tcPr>
                        <w:tcW w:w="1563" w:type="dxa"/>
                        <w:vMerge/>
                      </w:tcPr>
                      <w:p w14:paraId="5C9439FF" w14:textId="77777777" w:rsidR="00D3329A" w:rsidRPr="00B92975" w:rsidRDefault="00D3329A" w:rsidP="00D3329A">
                        <w:pPr>
                          <w:rPr>
                            <w:rFonts w:cs="Arial"/>
                            <w:b/>
                            <w:sz w:val="18"/>
                            <w:szCs w:val="18"/>
                            <w:lang w:val="mk-MK"/>
                          </w:rPr>
                        </w:pPr>
                      </w:p>
                    </w:tc>
                    <w:tc>
                      <w:tcPr>
                        <w:tcW w:w="1985" w:type="dxa"/>
                        <w:tcBorders>
                          <w:top w:val="single" w:sz="4" w:space="0" w:color="757575"/>
                          <w:left w:val="single" w:sz="4" w:space="0" w:color="757575"/>
                          <w:bottom w:val="single" w:sz="4" w:space="0" w:color="757575"/>
                          <w:right w:val="single" w:sz="4" w:space="0" w:color="757575"/>
                        </w:tcBorders>
                        <w:shd w:val="clear" w:color="auto" w:fill="auto"/>
                        <w:vAlign w:val="center"/>
                      </w:tcPr>
                      <w:p w14:paraId="3D81D3F0" w14:textId="77777777" w:rsidR="00D3329A" w:rsidRPr="00B92975" w:rsidRDefault="00D3329A" w:rsidP="00D3329A">
                        <w:pPr>
                          <w:rPr>
                            <w:rFonts w:cs="Arial"/>
                            <w:sz w:val="18"/>
                            <w:szCs w:val="18"/>
                            <w:lang w:val="mk-MK"/>
                          </w:rPr>
                        </w:pPr>
                        <w:r w:rsidRPr="00B92975">
                          <w:rPr>
                            <w:rFonts w:cs="Arial"/>
                            <w:color w:val="212121"/>
                            <w:sz w:val="18"/>
                            <w:szCs w:val="18"/>
                            <w:lang w:val="mk-MK"/>
                          </w:rPr>
                          <w:t>Ризик од управување со човечки ресурси</w:t>
                        </w:r>
                      </w:p>
                    </w:tc>
                    <w:tc>
                      <w:tcPr>
                        <w:tcW w:w="5103" w:type="dxa"/>
                        <w:tcBorders>
                          <w:top w:val="single" w:sz="4" w:space="0" w:color="757575"/>
                          <w:left w:val="nil"/>
                          <w:bottom w:val="single" w:sz="4" w:space="0" w:color="757575"/>
                          <w:right w:val="single" w:sz="4" w:space="0" w:color="757575"/>
                        </w:tcBorders>
                        <w:shd w:val="clear" w:color="auto" w:fill="auto"/>
                        <w:vAlign w:val="center"/>
                      </w:tcPr>
                      <w:p w14:paraId="38AC7208" w14:textId="77777777" w:rsidR="00D3329A" w:rsidRPr="00B92975" w:rsidRDefault="00D3329A" w:rsidP="00D3329A">
                        <w:pPr>
                          <w:jc w:val="both"/>
                          <w:rPr>
                            <w:rFonts w:cs="Arial"/>
                            <w:sz w:val="18"/>
                            <w:szCs w:val="18"/>
                            <w:lang w:val="mk-MK"/>
                          </w:rPr>
                        </w:pPr>
                        <w:r w:rsidRPr="00B92975">
                          <w:rPr>
                            <w:rFonts w:cs="Arial"/>
                            <w:color w:val="212121"/>
                            <w:sz w:val="18"/>
                            <w:szCs w:val="18"/>
                            <w:lang w:val="mk-MK"/>
                          </w:rPr>
                          <w:t>Ризик од управување со човечки ресурси</w:t>
                        </w:r>
                        <w:r w:rsidRPr="00B92975">
                          <w:rPr>
                            <w:rFonts w:cs="Arial"/>
                            <w:color w:val="212121"/>
                            <w:sz w:val="18"/>
                            <w:szCs w:val="18"/>
                          </w:rPr>
                          <w:t xml:space="preserve"> </w:t>
                        </w:r>
                        <w:r w:rsidRPr="00B92975">
                          <w:rPr>
                            <w:rFonts w:cs="Arial"/>
                            <w:color w:val="212121"/>
                            <w:sz w:val="18"/>
                            <w:szCs w:val="18"/>
                            <w:lang w:val="mk-MK"/>
                          </w:rPr>
                          <w:t>(висока флуктуација на човечки ресурси)</w:t>
                        </w:r>
                      </w:p>
                    </w:tc>
                  </w:tr>
                  <w:tr w:rsidR="00D3329A" w:rsidRPr="00B92975" w14:paraId="38F94EF8" w14:textId="77777777" w:rsidTr="00BF05D1">
                    <w:trPr>
                      <w:trHeight w:val="274"/>
                    </w:trPr>
                    <w:tc>
                      <w:tcPr>
                        <w:tcW w:w="1563" w:type="dxa"/>
                        <w:vMerge/>
                      </w:tcPr>
                      <w:p w14:paraId="6413DE1D" w14:textId="77777777" w:rsidR="00D3329A" w:rsidRPr="00B92975" w:rsidRDefault="00D3329A" w:rsidP="00D3329A">
                        <w:pPr>
                          <w:rPr>
                            <w:rFonts w:cs="Arial"/>
                            <w:b/>
                            <w:sz w:val="18"/>
                            <w:szCs w:val="18"/>
                            <w:lang w:val="mk-MK"/>
                          </w:rPr>
                        </w:pPr>
                      </w:p>
                    </w:tc>
                    <w:tc>
                      <w:tcPr>
                        <w:tcW w:w="1985" w:type="dxa"/>
                        <w:tcBorders>
                          <w:top w:val="nil"/>
                          <w:left w:val="single" w:sz="4" w:space="0" w:color="757575"/>
                          <w:bottom w:val="single" w:sz="4" w:space="0" w:color="757575"/>
                          <w:right w:val="single" w:sz="4" w:space="0" w:color="757575"/>
                        </w:tcBorders>
                        <w:shd w:val="clear" w:color="auto" w:fill="auto"/>
                        <w:vAlign w:val="center"/>
                      </w:tcPr>
                      <w:p w14:paraId="693CFB83" w14:textId="77777777" w:rsidR="00D3329A" w:rsidRPr="00B92975" w:rsidRDefault="00D3329A" w:rsidP="00D3329A">
                        <w:pPr>
                          <w:rPr>
                            <w:rFonts w:cs="Arial"/>
                            <w:sz w:val="18"/>
                            <w:szCs w:val="18"/>
                            <w:lang w:val="mk-MK"/>
                          </w:rPr>
                        </w:pPr>
                        <w:r w:rsidRPr="00B92975">
                          <w:rPr>
                            <w:rFonts w:cs="Arial"/>
                            <w:color w:val="212121"/>
                            <w:sz w:val="18"/>
                            <w:szCs w:val="18"/>
                            <w:lang w:val="mk-MK"/>
                          </w:rPr>
                          <w:t>Ризик од исполнување на проекти</w:t>
                        </w:r>
                      </w:p>
                    </w:tc>
                    <w:tc>
                      <w:tcPr>
                        <w:tcW w:w="5103" w:type="dxa"/>
                        <w:tcBorders>
                          <w:top w:val="nil"/>
                          <w:left w:val="nil"/>
                          <w:bottom w:val="single" w:sz="4" w:space="0" w:color="757575"/>
                          <w:right w:val="single" w:sz="4" w:space="0" w:color="757575"/>
                        </w:tcBorders>
                        <w:shd w:val="clear" w:color="auto" w:fill="auto"/>
                        <w:vAlign w:val="center"/>
                      </w:tcPr>
                      <w:p w14:paraId="6389CFE4" w14:textId="77777777" w:rsidR="00D3329A" w:rsidRPr="00B92975" w:rsidRDefault="00D3329A" w:rsidP="00D3329A">
                        <w:pPr>
                          <w:jc w:val="both"/>
                          <w:rPr>
                            <w:rFonts w:cs="Arial"/>
                            <w:sz w:val="18"/>
                            <w:szCs w:val="18"/>
                            <w:lang w:val="mk-MK"/>
                          </w:rPr>
                        </w:pPr>
                        <w:r w:rsidRPr="00B92975">
                          <w:rPr>
                            <w:rFonts w:cs="Arial"/>
                            <w:color w:val="212121"/>
                            <w:sz w:val="18"/>
                            <w:szCs w:val="18"/>
                            <w:lang w:val="mk-MK"/>
                          </w:rPr>
                          <w:t xml:space="preserve">Ризик од неисполнување на планираните цели </w:t>
                        </w:r>
                      </w:p>
                    </w:tc>
                  </w:tr>
                  <w:tr w:rsidR="00D3329A" w:rsidRPr="00B92975" w14:paraId="49763210" w14:textId="77777777" w:rsidTr="00BF05D1">
                    <w:trPr>
                      <w:trHeight w:val="274"/>
                    </w:trPr>
                    <w:tc>
                      <w:tcPr>
                        <w:tcW w:w="1563" w:type="dxa"/>
                        <w:vMerge/>
                      </w:tcPr>
                      <w:p w14:paraId="4F576492" w14:textId="77777777" w:rsidR="00D3329A" w:rsidRPr="00B92975" w:rsidRDefault="00D3329A" w:rsidP="00D3329A">
                        <w:pPr>
                          <w:rPr>
                            <w:rFonts w:cs="Arial"/>
                            <w:b/>
                            <w:sz w:val="18"/>
                            <w:szCs w:val="18"/>
                            <w:lang w:val="mk-MK"/>
                          </w:rPr>
                        </w:pPr>
                      </w:p>
                    </w:tc>
                    <w:tc>
                      <w:tcPr>
                        <w:tcW w:w="1985" w:type="dxa"/>
                        <w:tcBorders>
                          <w:top w:val="single" w:sz="4" w:space="0" w:color="757575"/>
                          <w:left w:val="single" w:sz="4" w:space="0" w:color="757575"/>
                          <w:bottom w:val="nil"/>
                          <w:right w:val="single" w:sz="4" w:space="0" w:color="757575"/>
                        </w:tcBorders>
                        <w:shd w:val="clear" w:color="auto" w:fill="auto"/>
                        <w:vAlign w:val="center"/>
                      </w:tcPr>
                      <w:p w14:paraId="66BA2521" w14:textId="77777777" w:rsidR="00D3329A" w:rsidRPr="00B92975" w:rsidRDefault="00D3329A" w:rsidP="00D3329A">
                        <w:pPr>
                          <w:rPr>
                            <w:rFonts w:cs="Arial"/>
                            <w:sz w:val="18"/>
                            <w:szCs w:val="18"/>
                            <w:lang w:val="mk-MK"/>
                          </w:rPr>
                        </w:pPr>
                        <w:r w:rsidRPr="00B92975">
                          <w:rPr>
                            <w:rFonts w:cs="Arial"/>
                            <w:color w:val="212121"/>
                            <w:sz w:val="18"/>
                            <w:szCs w:val="18"/>
                          </w:rPr>
                          <w:t>Репутациски ризик кој произлегува од потенцијално доцнење во барањата за инплементација на</w:t>
                        </w:r>
                        <w:r w:rsidRPr="00B92975">
                          <w:rPr>
                            <w:rFonts w:cs="Arial"/>
                            <w:color w:val="212121"/>
                            <w:sz w:val="18"/>
                            <w:szCs w:val="18"/>
                            <w:lang w:val="mk-MK"/>
                          </w:rPr>
                          <w:t xml:space="preserve"> ЕСГ</w:t>
                        </w:r>
                      </w:p>
                    </w:tc>
                    <w:tc>
                      <w:tcPr>
                        <w:tcW w:w="5103" w:type="dxa"/>
                        <w:tcBorders>
                          <w:top w:val="single" w:sz="4" w:space="0" w:color="757575"/>
                          <w:left w:val="nil"/>
                          <w:bottom w:val="nil"/>
                          <w:right w:val="single" w:sz="4" w:space="0" w:color="757575"/>
                        </w:tcBorders>
                        <w:shd w:val="clear" w:color="auto" w:fill="auto"/>
                        <w:vAlign w:val="center"/>
                      </w:tcPr>
                      <w:p w14:paraId="0E2F5901" w14:textId="77777777" w:rsidR="00D3329A" w:rsidRPr="00B92975" w:rsidRDefault="00D3329A" w:rsidP="00D3329A">
                        <w:pPr>
                          <w:jc w:val="both"/>
                          <w:rPr>
                            <w:rFonts w:cs="Arial"/>
                            <w:sz w:val="18"/>
                            <w:szCs w:val="18"/>
                            <w:lang w:val="mk-MK"/>
                          </w:rPr>
                        </w:pPr>
                        <w:r w:rsidRPr="00B92975">
                          <w:rPr>
                            <w:rFonts w:cs="Arial"/>
                            <w:color w:val="212121"/>
                            <w:sz w:val="18"/>
                            <w:szCs w:val="18"/>
                            <w:lang w:val="mk-MK"/>
                          </w:rPr>
                          <w:t xml:space="preserve">Репутациски ризик кој произлегува од потенцијално доцнење во барањата за инплементација на Еколошките, социјалните и ризиците од управувањето (ESG) </w:t>
                        </w:r>
                      </w:p>
                    </w:tc>
                  </w:tr>
                  <w:tr w:rsidR="00D3329A" w:rsidRPr="00B92975" w14:paraId="407D52E5" w14:textId="77777777" w:rsidTr="00BF05D1">
                    <w:trPr>
                      <w:trHeight w:val="274"/>
                    </w:trPr>
                    <w:tc>
                      <w:tcPr>
                        <w:tcW w:w="1563" w:type="dxa"/>
                        <w:vMerge/>
                      </w:tcPr>
                      <w:p w14:paraId="566B5A37" w14:textId="77777777" w:rsidR="00D3329A" w:rsidRPr="00B92975" w:rsidRDefault="00D3329A" w:rsidP="00D3329A">
                        <w:pPr>
                          <w:rPr>
                            <w:rFonts w:cs="Arial"/>
                            <w:b/>
                            <w:sz w:val="18"/>
                            <w:szCs w:val="18"/>
                            <w:lang w:val="mk-MK"/>
                          </w:rPr>
                        </w:pPr>
                      </w:p>
                    </w:tc>
                    <w:tc>
                      <w:tcPr>
                        <w:tcW w:w="1985" w:type="dxa"/>
                        <w:tcBorders>
                          <w:top w:val="single" w:sz="4" w:space="0" w:color="757575"/>
                          <w:left w:val="single" w:sz="4" w:space="0" w:color="757575"/>
                          <w:bottom w:val="single" w:sz="4" w:space="0" w:color="auto"/>
                          <w:right w:val="single" w:sz="4" w:space="0" w:color="757575"/>
                        </w:tcBorders>
                        <w:shd w:val="clear" w:color="auto" w:fill="auto"/>
                        <w:vAlign w:val="center"/>
                      </w:tcPr>
                      <w:p w14:paraId="6F70D7FA" w14:textId="77777777" w:rsidR="00D3329A" w:rsidRPr="00B92975" w:rsidRDefault="00D3329A" w:rsidP="00D3329A">
                        <w:pPr>
                          <w:rPr>
                            <w:rFonts w:cs="Arial"/>
                            <w:sz w:val="18"/>
                            <w:szCs w:val="18"/>
                            <w:lang w:val="mk-MK"/>
                          </w:rPr>
                        </w:pPr>
                        <w:r w:rsidRPr="00B92975">
                          <w:rPr>
                            <w:rFonts w:cs="Arial"/>
                            <w:color w:val="212121"/>
                            <w:sz w:val="18"/>
                            <w:szCs w:val="18"/>
                          </w:rPr>
                          <w:t>Ризик од усогласеност со регулатива кој произлегува од ризиците поврзани со климата и животната средина</w:t>
                        </w:r>
                      </w:p>
                    </w:tc>
                    <w:tc>
                      <w:tcPr>
                        <w:tcW w:w="5103" w:type="dxa"/>
                        <w:tcBorders>
                          <w:top w:val="single" w:sz="4" w:space="0" w:color="757575"/>
                          <w:left w:val="nil"/>
                          <w:bottom w:val="single" w:sz="4" w:space="0" w:color="auto"/>
                          <w:right w:val="single" w:sz="4" w:space="0" w:color="757575"/>
                        </w:tcBorders>
                        <w:shd w:val="clear" w:color="auto" w:fill="auto"/>
                        <w:vAlign w:val="center"/>
                      </w:tcPr>
                      <w:p w14:paraId="571A9684" w14:textId="77777777" w:rsidR="00D3329A" w:rsidRPr="00B92975" w:rsidRDefault="00D3329A" w:rsidP="00D3329A">
                        <w:pPr>
                          <w:jc w:val="both"/>
                          <w:rPr>
                            <w:rFonts w:cs="Arial"/>
                            <w:color w:val="212121"/>
                            <w:sz w:val="18"/>
                            <w:szCs w:val="18"/>
                          </w:rPr>
                        </w:pPr>
                      </w:p>
                      <w:p w14:paraId="320D3A2B" w14:textId="77777777" w:rsidR="00D3329A" w:rsidRPr="00B92975" w:rsidRDefault="00D3329A" w:rsidP="00D3329A">
                        <w:pPr>
                          <w:jc w:val="both"/>
                          <w:rPr>
                            <w:rFonts w:cs="Arial"/>
                            <w:color w:val="212121"/>
                            <w:sz w:val="18"/>
                            <w:szCs w:val="18"/>
                            <w:lang w:val="mk-MK"/>
                          </w:rPr>
                        </w:pPr>
                        <w:r w:rsidRPr="00B92975">
                          <w:rPr>
                            <w:rFonts w:cs="Arial"/>
                            <w:color w:val="212121"/>
                            <w:sz w:val="18"/>
                            <w:szCs w:val="18"/>
                          </w:rPr>
                          <w:t>Ризик од усогласеност со регулатива</w:t>
                        </w:r>
                        <w:r w:rsidRPr="00B92975">
                          <w:rPr>
                            <w:rFonts w:cs="Arial"/>
                            <w:color w:val="212121"/>
                            <w:sz w:val="18"/>
                            <w:szCs w:val="18"/>
                            <w:lang w:val="mk-MK"/>
                          </w:rPr>
                          <w:t xml:space="preserve"> кој произлегува од ризиците поврзани со климата и животната средина</w:t>
                        </w:r>
                      </w:p>
                    </w:tc>
                  </w:tr>
                </w:tbl>
                <w:p w14:paraId="22E1FBC7" w14:textId="77777777" w:rsidR="00D3329A" w:rsidRPr="00B92975" w:rsidRDefault="00D3329A" w:rsidP="00D3329A">
                  <w:pPr>
                    <w:jc w:val="both"/>
                    <w:rPr>
                      <w:rFonts w:cs="Arial"/>
                      <w:lang w:val="mk-MK"/>
                    </w:rPr>
                  </w:pPr>
                </w:p>
              </w:tc>
            </w:tr>
          </w:tbl>
          <w:p w14:paraId="26FA24D8" w14:textId="77777777" w:rsidR="0085597D" w:rsidRPr="00B92975" w:rsidRDefault="0085597D" w:rsidP="00C57FD5">
            <w:pPr>
              <w:jc w:val="both"/>
              <w:rPr>
                <w:rFonts w:cs="Arial"/>
                <w:lang w:val="mk-MK"/>
              </w:rPr>
            </w:pPr>
          </w:p>
        </w:tc>
      </w:tr>
      <w:tr w:rsidR="004116B0" w:rsidRPr="0085597D" w14:paraId="31910300" w14:textId="77777777" w:rsidTr="000B7C52">
        <w:trPr>
          <w:trHeight w:val="272"/>
        </w:trPr>
        <w:tc>
          <w:tcPr>
            <w:tcW w:w="10359" w:type="dxa"/>
            <w:gridSpan w:val="4"/>
            <w:shd w:val="clear" w:color="auto" w:fill="003366"/>
            <w:vAlign w:val="center"/>
          </w:tcPr>
          <w:p w14:paraId="50358DE2" w14:textId="77777777" w:rsidR="004116B0" w:rsidRPr="00A656CC" w:rsidRDefault="004116B0" w:rsidP="008B0175">
            <w:pPr>
              <w:rPr>
                <w:rFonts w:cs="Arial"/>
                <w:color w:val="FFFFFF"/>
                <w:lang w:val="mk-MK"/>
              </w:rPr>
            </w:pPr>
            <w:r w:rsidRPr="0085597D">
              <w:rPr>
                <w:rFonts w:cs="Arial"/>
                <w:b/>
                <w:lang w:val="ru-RU"/>
              </w:rPr>
              <w:lastRenderedPageBreak/>
              <w:t>4.1. Податоци за управување со оперативен ризик</w:t>
            </w:r>
            <w:r w:rsidRPr="0085597D">
              <w:rPr>
                <w:rFonts w:cs="Arial"/>
                <w:b/>
                <w:color w:val="FFFFFF"/>
                <w:lang w:val="mk-MK"/>
              </w:rPr>
              <w:t xml:space="preserve"> </w:t>
            </w:r>
          </w:p>
        </w:tc>
      </w:tr>
      <w:tr w:rsidR="004116B0" w:rsidRPr="0085597D" w14:paraId="54A4BA61" w14:textId="77777777" w:rsidTr="000B7C52">
        <w:tblPrEx>
          <w:tblLook w:val="0000" w:firstRow="0" w:lastRow="0" w:firstColumn="0" w:lastColumn="0" w:noHBand="0" w:noVBand="0"/>
        </w:tblPrEx>
        <w:trPr>
          <w:trHeight w:val="2531"/>
        </w:trPr>
        <w:tc>
          <w:tcPr>
            <w:tcW w:w="1585" w:type="dxa"/>
          </w:tcPr>
          <w:p w14:paraId="232CE00F" w14:textId="77777777" w:rsidR="004116B0" w:rsidRPr="0085597D" w:rsidRDefault="004116B0" w:rsidP="008B0175">
            <w:pPr>
              <w:rPr>
                <w:rFonts w:cs="Arial"/>
                <w:b/>
                <w:lang w:val="ru-RU"/>
              </w:rPr>
            </w:pPr>
            <w:r w:rsidRPr="0085597D">
              <w:rPr>
                <w:rFonts w:cs="Arial"/>
                <w:b/>
                <w:lang w:val="ru-RU"/>
              </w:rPr>
              <w:t>Основни податоци за пристапот кој Банката го користи за пресметка на капиталот потребен за покривање на оперативниот ризик</w:t>
            </w:r>
          </w:p>
        </w:tc>
        <w:tc>
          <w:tcPr>
            <w:tcW w:w="8774" w:type="dxa"/>
            <w:gridSpan w:val="3"/>
          </w:tcPr>
          <w:p w14:paraId="0B9C56C0" w14:textId="77777777" w:rsidR="0097104F" w:rsidRPr="0085597D" w:rsidRDefault="0097104F" w:rsidP="0097104F">
            <w:pPr>
              <w:tabs>
                <w:tab w:val="left" w:pos="4253"/>
              </w:tabs>
              <w:jc w:val="both"/>
              <w:rPr>
                <w:rFonts w:cs="Arial"/>
              </w:rPr>
            </w:pPr>
          </w:p>
          <w:p w14:paraId="07B8B92D" w14:textId="77777777" w:rsidR="004116B0" w:rsidRPr="00A656CC" w:rsidRDefault="0097104F" w:rsidP="0097104F">
            <w:pPr>
              <w:tabs>
                <w:tab w:val="left" w:pos="4253"/>
              </w:tabs>
              <w:jc w:val="both"/>
              <w:rPr>
                <w:rFonts w:cs="Arial"/>
                <w:lang w:val="mk-MK"/>
              </w:rPr>
            </w:pPr>
            <w:r w:rsidRPr="00D2359B">
              <w:rPr>
                <w:rFonts w:cs="Arial"/>
                <w:lang w:val="mk-MK"/>
              </w:rPr>
              <w:t xml:space="preserve">Согласно Одлуката за изменување и дополнување на Одлуката за методологијата за утврдување на адекватноста на капиталот усвоена од </w:t>
            </w:r>
            <w:r w:rsidR="0085597D" w:rsidRPr="00D2359B">
              <w:rPr>
                <w:rFonts w:cs="Arial"/>
                <w:lang w:val="mk-MK"/>
              </w:rPr>
              <w:t>НБРСМ</w:t>
            </w:r>
            <w:r w:rsidRPr="00D2359B">
              <w:rPr>
                <w:rFonts w:cs="Arial"/>
                <w:lang w:val="mk-MK"/>
              </w:rPr>
              <w:t xml:space="preserve">, Банката, врши пресметка на капиталното барање за оперативен ризик, со примена на стандардизираниот пристап. Методот за пресметка е дефиниран во Методологијата за утврдување на капиталот потребен за покривање на оперативниот ризик со примена на стандардизираниот пристап и распоредување на сметките по позиции и деловни линии, која е подготвена врз основа на законските одредби и препораки од </w:t>
            </w:r>
            <w:r w:rsidR="0085597D" w:rsidRPr="00D2359B">
              <w:rPr>
                <w:rFonts w:cs="Arial"/>
                <w:lang w:val="mk-MK"/>
              </w:rPr>
              <w:t>НБРСМ</w:t>
            </w:r>
            <w:r w:rsidRPr="00D2359B">
              <w:rPr>
                <w:rFonts w:cs="Arial"/>
                <w:lang w:val="mk-MK"/>
              </w:rPr>
              <w:t xml:space="preserve"> и земајќи ги во предвид препораките на добра пракса.</w:t>
            </w:r>
            <w:r w:rsidRPr="0085597D">
              <w:rPr>
                <w:rFonts w:cs="Arial"/>
                <w:lang w:val="mk-MK"/>
              </w:rPr>
              <w:t xml:space="preserve">  </w:t>
            </w:r>
            <w:r w:rsidR="004116B0" w:rsidRPr="0085597D">
              <w:rPr>
                <w:rFonts w:cs="Arial"/>
                <w:lang w:val="mk-MK"/>
              </w:rPr>
              <w:t xml:space="preserve"> </w:t>
            </w:r>
          </w:p>
        </w:tc>
      </w:tr>
      <w:tr w:rsidR="004116B0" w:rsidRPr="0085597D" w14:paraId="5E7C4501" w14:textId="77777777" w:rsidTr="000B7C52">
        <w:trPr>
          <w:trHeight w:val="272"/>
        </w:trPr>
        <w:tc>
          <w:tcPr>
            <w:tcW w:w="10359" w:type="dxa"/>
            <w:gridSpan w:val="4"/>
            <w:shd w:val="clear" w:color="auto" w:fill="92D050"/>
            <w:vAlign w:val="center"/>
          </w:tcPr>
          <w:p w14:paraId="4E8EFC92" w14:textId="77777777" w:rsidR="004116B0" w:rsidRPr="0085597D" w:rsidRDefault="004116B0" w:rsidP="008B0175">
            <w:pPr>
              <w:rPr>
                <w:rFonts w:cs="Arial"/>
                <w:color w:val="FFFFFF"/>
                <w:lang w:val="mk-MK"/>
              </w:rPr>
            </w:pPr>
            <w:r w:rsidRPr="0085597D">
              <w:rPr>
                <w:rFonts w:cs="Arial"/>
                <w:b/>
                <w:lang w:val="ru-RU"/>
              </w:rPr>
              <w:t>4.2. Податоци за управување со кредитен ризик</w:t>
            </w:r>
            <w:r w:rsidRPr="0085597D">
              <w:rPr>
                <w:rFonts w:cs="Arial"/>
                <w:b/>
                <w:color w:val="FFFFFF"/>
                <w:lang w:val="mk-MK"/>
              </w:rPr>
              <w:t xml:space="preserve"> </w:t>
            </w:r>
          </w:p>
        </w:tc>
      </w:tr>
      <w:tr w:rsidR="00A1103D" w:rsidRPr="0085597D" w14:paraId="7970C019" w14:textId="77777777" w:rsidTr="000B7C52">
        <w:tblPrEx>
          <w:tblLook w:val="0000" w:firstRow="0" w:lastRow="0" w:firstColumn="0" w:lastColumn="0" w:noHBand="0" w:noVBand="0"/>
        </w:tblPrEx>
        <w:trPr>
          <w:trHeight w:val="990"/>
        </w:trPr>
        <w:tc>
          <w:tcPr>
            <w:tcW w:w="1702" w:type="dxa"/>
            <w:gridSpan w:val="2"/>
          </w:tcPr>
          <w:p w14:paraId="60701AA4" w14:textId="77777777" w:rsidR="00A1103D" w:rsidRPr="0085597D" w:rsidRDefault="00A1103D" w:rsidP="008B0175">
            <w:pPr>
              <w:rPr>
                <w:rFonts w:cs="Arial"/>
                <w:b/>
                <w:lang w:val="ru-RU"/>
              </w:rPr>
            </w:pPr>
            <w:r w:rsidRPr="0085597D">
              <w:rPr>
                <w:rFonts w:cs="Arial"/>
                <w:b/>
                <w:lang w:val="ru-RU"/>
              </w:rPr>
              <w:t>Опис на политиката за вршење исправка на вредноста и за издвојување посебна резерва</w:t>
            </w:r>
          </w:p>
        </w:tc>
        <w:tc>
          <w:tcPr>
            <w:tcW w:w="8657" w:type="dxa"/>
            <w:gridSpan w:val="2"/>
          </w:tcPr>
          <w:p w14:paraId="47BAF944" w14:textId="77777777" w:rsidR="00A1103D" w:rsidRPr="0085597D" w:rsidRDefault="00A1103D" w:rsidP="000C59EA">
            <w:pPr>
              <w:rPr>
                <w:rFonts w:cs="Arial"/>
                <w:lang w:val="mk-MK"/>
              </w:rPr>
            </w:pPr>
          </w:p>
          <w:p w14:paraId="222EDF18" w14:textId="77777777" w:rsidR="00470167" w:rsidRPr="00D2359B" w:rsidRDefault="00000000" w:rsidP="00470167">
            <w:pPr>
              <w:rPr>
                <w:rFonts w:cs="Arial"/>
                <w:color w:val="FF0000"/>
                <w:lang w:val="en-US"/>
              </w:rPr>
            </w:pPr>
            <w:hyperlink r:id="rId13" w:history="1">
              <w:r w:rsidR="00470167" w:rsidRPr="00D2359B">
                <w:rPr>
                  <w:rStyle w:val="Hyperlink"/>
                </w:rPr>
                <w:t>Predloga za oblikovanje navadnih dokumentov (nlb.mk)</w:t>
              </w:r>
            </w:hyperlink>
          </w:p>
          <w:p w14:paraId="7B31728F" w14:textId="77777777" w:rsidR="00470167" w:rsidRPr="00D2359B" w:rsidRDefault="00470167" w:rsidP="00470167">
            <w:pPr>
              <w:rPr>
                <w:rFonts w:cs="Arial"/>
                <w:color w:val="FF0000"/>
                <w:lang w:val="en-US"/>
              </w:rPr>
            </w:pPr>
          </w:p>
          <w:p w14:paraId="566846CB" w14:textId="3304C5CC" w:rsidR="00A1103D" w:rsidRPr="00A656CC" w:rsidRDefault="00470167" w:rsidP="00470167">
            <w:pPr>
              <w:rPr>
                <w:rFonts w:cs="Arial"/>
                <w:lang w:val="en-US"/>
              </w:rPr>
            </w:pPr>
            <w:r w:rsidRPr="00D2359B">
              <w:rPr>
                <w:rFonts w:cs="Arial"/>
                <w:lang w:val="mk-MK"/>
              </w:rPr>
              <w:t>Белешка бр.1</w:t>
            </w:r>
            <w:r w:rsidRPr="00D2359B">
              <w:rPr>
                <w:rFonts w:cs="Arial"/>
                <w:lang w:val="en-US"/>
              </w:rPr>
              <w:t>.2</w:t>
            </w:r>
            <w:r w:rsidRPr="00D2359B">
              <w:rPr>
                <w:rFonts w:cs="Arial"/>
                <w:lang w:val="mk-MK"/>
              </w:rPr>
              <w:t>; стр.</w:t>
            </w:r>
            <w:r w:rsidRPr="00D2359B">
              <w:rPr>
                <w:rFonts w:cs="Arial"/>
                <w:lang w:val="en-US"/>
              </w:rPr>
              <w:t xml:space="preserve"> </w:t>
            </w:r>
            <w:r w:rsidRPr="00D2359B">
              <w:rPr>
                <w:rFonts w:cs="Arial"/>
                <w:lang w:val="mk-MK"/>
              </w:rPr>
              <w:t>2</w:t>
            </w:r>
            <w:r w:rsidRPr="00D2359B">
              <w:rPr>
                <w:rFonts w:cs="Arial"/>
                <w:lang w:val="en-US"/>
              </w:rPr>
              <w:t>2</w:t>
            </w:r>
            <w:r w:rsidRPr="00D2359B">
              <w:rPr>
                <w:rFonts w:cs="Arial"/>
                <w:lang w:val="mk-MK"/>
              </w:rPr>
              <w:t xml:space="preserve"> до </w:t>
            </w:r>
            <w:r w:rsidRPr="00D2359B">
              <w:rPr>
                <w:rFonts w:cs="Arial"/>
                <w:lang w:val="en-US"/>
              </w:rPr>
              <w:t xml:space="preserve">28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A1103D" w:rsidRPr="0085597D" w14:paraId="005747A9" w14:textId="77777777" w:rsidTr="000B7C52">
        <w:tblPrEx>
          <w:tblLook w:val="0000" w:firstRow="0" w:lastRow="0" w:firstColumn="0" w:lastColumn="0" w:noHBand="0" w:noVBand="0"/>
        </w:tblPrEx>
        <w:trPr>
          <w:trHeight w:val="1265"/>
        </w:trPr>
        <w:tc>
          <w:tcPr>
            <w:tcW w:w="1702" w:type="dxa"/>
            <w:gridSpan w:val="2"/>
          </w:tcPr>
          <w:p w14:paraId="75867491" w14:textId="77777777" w:rsidR="00A1103D" w:rsidRPr="0085597D" w:rsidRDefault="00A1103D" w:rsidP="008B0175">
            <w:pPr>
              <w:rPr>
                <w:rFonts w:cs="Arial"/>
                <w:b/>
                <w:lang w:val="ru-RU"/>
              </w:rPr>
            </w:pPr>
            <w:r w:rsidRPr="0085597D">
              <w:rPr>
                <w:rFonts w:cs="Arial"/>
                <w:b/>
                <w:lang w:val="ru-RU"/>
              </w:rPr>
              <w:t xml:space="preserve">Износ на изложеноста на кредитниот ризик, пред и по извршената исправка на </w:t>
            </w:r>
            <w:r w:rsidRPr="0085597D">
              <w:rPr>
                <w:rFonts w:cs="Arial"/>
                <w:b/>
                <w:lang w:val="ru-RU"/>
              </w:rPr>
              <w:lastRenderedPageBreak/>
              <w:t>вредноста, односно по издвоената посебна резерва</w:t>
            </w:r>
          </w:p>
        </w:tc>
        <w:tc>
          <w:tcPr>
            <w:tcW w:w="8657" w:type="dxa"/>
            <w:gridSpan w:val="2"/>
          </w:tcPr>
          <w:p w14:paraId="4232D7AF" w14:textId="77777777" w:rsidR="00A1103D" w:rsidRPr="00D2359B" w:rsidRDefault="00A1103D" w:rsidP="000C59EA">
            <w:pPr>
              <w:rPr>
                <w:rFonts w:cs="Arial"/>
                <w:lang w:val="mk-MK"/>
              </w:rPr>
            </w:pPr>
          </w:p>
          <w:p w14:paraId="5D485083" w14:textId="77777777" w:rsidR="00470167" w:rsidRPr="00D2359B" w:rsidRDefault="00000000" w:rsidP="00470167">
            <w:pPr>
              <w:rPr>
                <w:rFonts w:cs="Arial"/>
                <w:color w:val="FF0000"/>
                <w:lang w:val="en-US"/>
              </w:rPr>
            </w:pPr>
            <w:hyperlink r:id="rId14" w:history="1">
              <w:r w:rsidR="00470167" w:rsidRPr="00D2359B">
                <w:rPr>
                  <w:rStyle w:val="Hyperlink"/>
                </w:rPr>
                <w:t>Predloga za oblikovanje navadnih dokumentov (nlb.mk)</w:t>
              </w:r>
            </w:hyperlink>
          </w:p>
          <w:p w14:paraId="3A458F40" w14:textId="77777777" w:rsidR="00470167" w:rsidRPr="00D2359B" w:rsidRDefault="00470167" w:rsidP="00470167">
            <w:pPr>
              <w:autoSpaceDE w:val="0"/>
              <w:autoSpaceDN w:val="0"/>
              <w:adjustRightInd w:val="0"/>
              <w:rPr>
                <w:rFonts w:cs="Arial"/>
                <w:color w:val="FF0000"/>
                <w:lang w:val="mk-MK"/>
              </w:rPr>
            </w:pPr>
          </w:p>
          <w:p w14:paraId="1995660A" w14:textId="77777777" w:rsidR="00470167" w:rsidRPr="00D2359B" w:rsidRDefault="00470167" w:rsidP="00470167">
            <w:pPr>
              <w:autoSpaceDE w:val="0"/>
              <w:autoSpaceDN w:val="0"/>
              <w:adjustRightInd w:val="0"/>
              <w:rPr>
                <w:rFonts w:cs="Arial"/>
                <w:lang w:val="mk-MK"/>
              </w:rPr>
            </w:pPr>
            <w:r w:rsidRPr="00D2359B">
              <w:rPr>
                <w:rFonts w:cs="Arial"/>
                <w:lang w:val="mk-MK"/>
              </w:rPr>
              <w:t>Табела 2.1 А – Анализа на вкупната изложеност на кредитен ризик, стр.74</w:t>
            </w:r>
            <w:r w:rsidRPr="00D2359B">
              <w:rPr>
                <w:rFonts w:cs="Arial"/>
                <w:lang w:val="en-US"/>
              </w:rPr>
              <w:t xml:space="preserve">  </w:t>
            </w:r>
            <w:r w:rsidRPr="00D2359B">
              <w:rPr>
                <w:rFonts w:cs="Arial"/>
                <w:lang w:val="mk-MK"/>
              </w:rPr>
              <w:t xml:space="preserve">(според </w:t>
            </w:r>
            <w:r w:rsidRPr="00D2359B">
              <w:rPr>
                <w:rFonts w:cs="Arial"/>
              </w:rPr>
              <w:t xml:space="preserve">PDF </w:t>
            </w:r>
            <w:r w:rsidRPr="00D2359B">
              <w:rPr>
                <w:rFonts w:cs="Arial"/>
                <w:lang w:val="mk-MK"/>
              </w:rPr>
              <w:t xml:space="preserve">документот) </w:t>
            </w:r>
          </w:p>
          <w:p w14:paraId="0F24582C" w14:textId="77777777" w:rsidR="00A1103D" w:rsidRPr="00D2359B" w:rsidRDefault="00A1103D" w:rsidP="00C85EA7">
            <w:pPr>
              <w:rPr>
                <w:rFonts w:cs="Arial"/>
                <w:lang w:val="en-US"/>
              </w:rPr>
            </w:pPr>
          </w:p>
        </w:tc>
      </w:tr>
      <w:tr w:rsidR="00470167" w:rsidRPr="0085597D" w14:paraId="153CAE5A" w14:textId="77777777" w:rsidTr="000B7C52">
        <w:tblPrEx>
          <w:tblLook w:val="0000" w:firstRow="0" w:lastRow="0" w:firstColumn="0" w:lastColumn="0" w:noHBand="0" w:noVBand="0"/>
        </w:tblPrEx>
        <w:trPr>
          <w:trHeight w:val="401"/>
        </w:trPr>
        <w:tc>
          <w:tcPr>
            <w:tcW w:w="1702" w:type="dxa"/>
            <w:gridSpan w:val="2"/>
          </w:tcPr>
          <w:p w14:paraId="2F64D04C" w14:textId="0167FE19" w:rsidR="00470167" w:rsidRPr="0085597D" w:rsidRDefault="00470167" w:rsidP="00470167">
            <w:pPr>
              <w:rPr>
                <w:rFonts w:cs="Arial"/>
                <w:b/>
                <w:lang w:val="ru-RU"/>
              </w:rPr>
            </w:pPr>
            <w:r w:rsidRPr="0085597D">
              <w:rPr>
                <w:rFonts w:cs="Arial"/>
                <w:b/>
                <w:lang w:val="ru-RU"/>
              </w:rPr>
              <w:t xml:space="preserve">Просечна изложеност на кредитен ризик со состојба </w:t>
            </w:r>
            <w:r w:rsidRPr="00B92975">
              <w:rPr>
                <w:rFonts w:cs="Arial"/>
                <w:b/>
                <w:lang w:val="ru-RU"/>
              </w:rPr>
              <w:t>31.12.20</w:t>
            </w:r>
            <w:r w:rsidRPr="00B92975">
              <w:rPr>
                <w:rFonts w:cs="Arial"/>
                <w:b/>
                <w:lang w:val="en-US"/>
              </w:rPr>
              <w:t>23</w:t>
            </w:r>
            <w:r w:rsidRPr="00B92975">
              <w:rPr>
                <w:rFonts w:cs="Arial"/>
                <w:b/>
                <w:lang w:val="ru-RU"/>
              </w:rPr>
              <w:t xml:space="preserve"> </w:t>
            </w:r>
            <w:r w:rsidRPr="0085597D">
              <w:rPr>
                <w:rFonts w:cs="Arial"/>
                <w:b/>
                <w:lang w:val="ru-RU"/>
              </w:rPr>
              <w:t>и изложеноста по одделни категории на ризик</w:t>
            </w:r>
          </w:p>
        </w:tc>
        <w:tc>
          <w:tcPr>
            <w:tcW w:w="8657" w:type="dxa"/>
            <w:gridSpan w:val="2"/>
          </w:tcPr>
          <w:p w14:paraId="3A0B801C" w14:textId="77777777" w:rsidR="00470167" w:rsidRPr="0085597D" w:rsidRDefault="00470167" w:rsidP="00470167">
            <w:pPr>
              <w:rPr>
                <w:rFonts w:cs="Arial"/>
                <w:lang w:val="mk-MK"/>
              </w:rPr>
            </w:pPr>
          </w:p>
          <w:p w14:paraId="663E8C62" w14:textId="77777777" w:rsidR="00470167" w:rsidRDefault="00000000" w:rsidP="00470167">
            <w:pPr>
              <w:rPr>
                <w:rFonts w:cs="Arial"/>
                <w:color w:val="FF0000"/>
                <w:lang w:val="en-US"/>
              </w:rPr>
            </w:pPr>
            <w:hyperlink r:id="rId15" w:history="1">
              <w:r w:rsidR="00470167">
                <w:rPr>
                  <w:rStyle w:val="Hyperlink"/>
                </w:rPr>
                <w:t>Predloga za oblikovanje navadnih dokumentov (nlb.mk)</w:t>
              </w:r>
            </w:hyperlink>
          </w:p>
          <w:p w14:paraId="089C801E" w14:textId="77777777" w:rsidR="00470167" w:rsidRPr="00BF05D1" w:rsidRDefault="00470167" w:rsidP="00470167">
            <w:pPr>
              <w:rPr>
                <w:rFonts w:cs="Arial"/>
                <w:color w:val="FF0000"/>
                <w:lang w:val="mk-MK"/>
              </w:rPr>
            </w:pPr>
          </w:p>
          <w:p w14:paraId="1F121F04" w14:textId="76EBC3AE" w:rsidR="00470167" w:rsidRPr="00A656CC" w:rsidRDefault="00470167" w:rsidP="00470167">
            <w:pPr>
              <w:rPr>
                <w:rFonts w:cs="Arial"/>
                <w:lang w:val="ru-RU"/>
              </w:rPr>
            </w:pPr>
            <w:r w:rsidRPr="00D2359B">
              <w:rPr>
                <w:rFonts w:cs="Arial"/>
                <w:lang w:val="mk-MK"/>
              </w:rPr>
              <w:t>Табела 2.1 А – Анализа на вкупната изложеност на кредитен ризик, стр.</w:t>
            </w:r>
            <w:r w:rsidRPr="00D2359B">
              <w:rPr>
                <w:rFonts w:cs="Arial"/>
                <w:lang w:val="en-US"/>
              </w:rPr>
              <w:t xml:space="preserve">74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470167" w:rsidRPr="0085597D" w14:paraId="1C8421D1" w14:textId="77777777" w:rsidTr="000B7C52">
        <w:tblPrEx>
          <w:tblLook w:val="0000" w:firstRow="0" w:lastRow="0" w:firstColumn="0" w:lastColumn="0" w:noHBand="0" w:noVBand="0"/>
        </w:tblPrEx>
        <w:trPr>
          <w:trHeight w:val="659"/>
        </w:trPr>
        <w:tc>
          <w:tcPr>
            <w:tcW w:w="1702" w:type="dxa"/>
            <w:gridSpan w:val="2"/>
          </w:tcPr>
          <w:p w14:paraId="53F97AA0" w14:textId="796AA128" w:rsidR="00470167" w:rsidRPr="00DF1DB8" w:rsidRDefault="00470167" w:rsidP="00470167">
            <w:pPr>
              <w:rPr>
                <w:rFonts w:cs="Arial"/>
                <w:b/>
                <w:lang w:val="en-US"/>
              </w:rPr>
            </w:pPr>
            <w:r w:rsidRPr="0085597D">
              <w:rPr>
                <w:rFonts w:cs="Arial"/>
                <w:b/>
                <w:lang w:val="ru-RU"/>
              </w:rPr>
              <w:t>Износ на достасани кредити</w:t>
            </w:r>
            <w:r w:rsidRPr="0085597D">
              <w:rPr>
                <w:rFonts w:cs="Arial"/>
                <w:b/>
                <w:lang w:val="mk-MK"/>
              </w:rPr>
              <w:t xml:space="preserve"> со </w:t>
            </w:r>
            <w:r w:rsidRPr="00D64DB5">
              <w:rPr>
                <w:rFonts w:cs="Arial"/>
                <w:b/>
                <w:lang w:val="mk-MK"/>
              </w:rPr>
              <w:t>состојба на 31.12.20</w:t>
            </w:r>
            <w:r w:rsidRPr="00D64DB5">
              <w:rPr>
                <w:rFonts w:cs="Arial"/>
                <w:b/>
                <w:lang w:val="en-US"/>
              </w:rPr>
              <w:t>23</w:t>
            </w:r>
          </w:p>
        </w:tc>
        <w:tc>
          <w:tcPr>
            <w:tcW w:w="8657" w:type="dxa"/>
            <w:gridSpan w:val="2"/>
          </w:tcPr>
          <w:p w14:paraId="24E2345A" w14:textId="77777777" w:rsidR="00470167" w:rsidRPr="00A656CC" w:rsidRDefault="00470167" w:rsidP="00470167">
            <w:pPr>
              <w:rPr>
                <w:rFonts w:cs="Arial"/>
                <w:lang w:val="mk-MK"/>
              </w:rPr>
            </w:pPr>
          </w:p>
          <w:p w14:paraId="14FF2D93" w14:textId="1B3EB059" w:rsidR="00470167" w:rsidRPr="00A656CC" w:rsidRDefault="00470167" w:rsidP="00470167">
            <w:pPr>
              <w:rPr>
                <w:rFonts w:cs="Arial"/>
                <w:lang w:val="mk-MK"/>
              </w:rPr>
            </w:pPr>
            <w:r w:rsidRPr="00D2359B">
              <w:rPr>
                <w:rFonts w:cs="Arial"/>
                <w:lang w:val="mk-MK"/>
              </w:rPr>
              <w:t>Редовна достасана главница 137</w:t>
            </w:r>
            <w:r w:rsidRPr="00D2359B">
              <w:rPr>
                <w:rFonts w:cs="Arial"/>
                <w:lang w:val="en-US"/>
              </w:rPr>
              <w:t>.</w:t>
            </w:r>
            <w:r w:rsidRPr="00D2359B">
              <w:rPr>
                <w:rFonts w:cs="Arial"/>
                <w:lang w:val="mk-MK"/>
              </w:rPr>
              <w:t>819</w:t>
            </w:r>
            <w:r w:rsidRPr="00D2359B">
              <w:rPr>
                <w:rFonts w:cs="Arial"/>
                <w:lang w:val="en-US"/>
              </w:rPr>
              <w:t xml:space="preserve"> </w:t>
            </w:r>
            <w:r w:rsidRPr="00D2359B">
              <w:rPr>
                <w:rFonts w:cs="Arial"/>
                <w:lang w:val="mk-MK"/>
              </w:rPr>
              <w:t>илјади МКД</w:t>
            </w:r>
          </w:p>
        </w:tc>
      </w:tr>
      <w:tr w:rsidR="00470167" w:rsidRPr="0085597D" w14:paraId="75CBE18F" w14:textId="77777777" w:rsidTr="000B7C52">
        <w:tblPrEx>
          <w:tblLook w:val="0000" w:firstRow="0" w:lastRow="0" w:firstColumn="0" w:lastColumn="0" w:noHBand="0" w:noVBand="0"/>
        </w:tblPrEx>
        <w:trPr>
          <w:trHeight w:val="1039"/>
        </w:trPr>
        <w:tc>
          <w:tcPr>
            <w:tcW w:w="1702" w:type="dxa"/>
            <w:gridSpan w:val="2"/>
          </w:tcPr>
          <w:p w14:paraId="1412185C" w14:textId="77777777" w:rsidR="00470167" w:rsidRPr="0085597D" w:rsidRDefault="00470167" w:rsidP="00470167">
            <w:pPr>
              <w:rPr>
                <w:rFonts w:cs="Arial"/>
                <w:b/>
                <w:lang w:val="ru-RU"/>
              </w:rPr>
            </w:pPr>
            <w:r w:rsidRPr="0085597D">
              <w:rPr>
                <w:rFonts w:cs="Arial"/>
                <w:b/>
                <w:lang w:val="ru-RU"/>
              </w:rPr>
              <w:t>Износ на изложеностите на кредитен ризик за кои е извршена исправка на вредноста, односно е издвоена посебна резерва</w:t>
            </w:r>
          </w:p>
        </w:tc>
        <w:tc>
          <w:tcPr>
            <w:tcW w:w="8657" w:type="dxa"/>
            <w:gridSpan w:val="2"/>
          </w:tcPr>
          <w:p w14:paraId="153D3533" w14:textId="77777777" w:rsidR="00470167" w:rsidRPr="0085597D" w:rsidRDefault="00470167" w:rsidP="00470167">
            <w:pPr>
              <w:rPr>
                <w:rFonts w:cs="Arial"/>
                <w:lang w:val="mk-MK"/>
              </w:rPr>
            </w:pPr>
          </w:p>
          <w:p w14:paraId="10D888D2" w14:textId="77777777" w:rsidR="00470167" w:rsidRDefault="00000000" w:rsidP="00470167">
            <w:pPr>
              <w:rPr>
                <w:rFonts w:cs="Arial"/>
                <w:color w:val="FF0000"/>
                <w:lang w:val="en-US"/>
              </w:rPr>
            </w:pPr>
            <w:hyperlink r:id="rId16" w:history="1">
              <w:r w:rsidR="00470167">
                <w:rPr>
                  <w:rStyle w:val="Hyperlink"/>
                </w:rPr>
                <w:t>Predloga za oblikovanje navadnih dokumentov (nlb.mk)</w:t>
              </w:r>
            </w:hyperlink>
          </w:p>
          <w:p w14:paraId="5E05A6A5" w14:textId="77777777" w:rsidR="00470167" w:rsidRPr="00DF2C3D" w:rsidRDefault="00470167" w:rsidP="00470167">
            <w:pPr>
              <w:autoSpaceDE w:val="0"/>
              <w:autoSpaceDN w:val="0"/>
              <w:adjustRightInd w:val="0"/>
              <w:rPr>
                <w:rFonts w:cs="Arial"/>
                <w:color w:val="FF0000"/>
                <w:lang w:val="mk-MK"/>
              </w:rPr>
            </w:pPr>
          </w:p>
          <w:p w14:paraId="19D6F74A" w14:textId="77777777" w:rsidR="00470167" w:rsidRPr="00BF05D1" w:rsidRDefault="00470167" w:rsidP="00470167">
            <w:pPr>
              <w:rPr>
                <w:rFonts w:cs="Arial"/>
                <w:color w:val="FF0000"/>
                <w:lang w:val="mk-MK"/>
              </w:rPr>
            </w:pPr>
          </w:p>
          <w:p w14:paraId="51D865F2" w14:textId="66D98236" w:rsidR="00470167" w:rsidRPr="00A656CC" w:rsidRDefault="00470167" w:rsidP="00470167">
            <w:pPr>
              <w:rPr>
                <w:rFonts w:cs="Arial"/>
                <w:lang w:val="ru-RU"/>
              </w:rPr>
            </w:pPr>
            <w:r w:rsidRPr="00D2359B">
              <w:rPr>
                <w:rFonts w:cs="Arial"/>
                <w:lang w:val="mk-MK"/>
              </w:rPr>
              <w:t>Табела 2.1 А – Анализа на вкупната изложеност на кредитен ризик, стр.74</w:t>
            </w:r>
            <w:r w:rsidRPr="00D2359B">
              <w:rPr>
                <w:rFonts w:cs="Arial"/>
                <w:lang w:val="en-US"/>
              </w:rPr>
              <w:t xml:space="preserve">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470167" w:rsidRPr="0085597D" w14:paraId="6E35356E" w14:textId="77777777" w:rsidTr="000B7C52">
        <w:tblPrEx>
          <w:tblLook w:val="0000" w:firstRow="0" w:lastRow="0" w:firstColumn="0" w:lastColumn="0" w:noHBand="0" w:noVBand="0"/>
        </w:tblPrEx>
        <w:trPr>
          <w:trHeight w:val="782"/>
        </w:trPr>
        <w:tc>
          <w:tcPr>
            <w:tcW w:w="1702" w:type="dxa"/>
            <w:gridSpan w:val="2"/>
          </w:tcPr>
          <w:p w14:paraId="29991ECA" w14:textId="77777777" w:rsidR="00470167" w:rsidRPr="0085597D" w:rsidRDefault="00470167" w:rsidP="00470167">
            <w:pPr>
              <w:rPr>
                <w:rFonts w:cs="Arial"/>
                <w:b/>
                <w:lang w:val="ru-RU"/>
              </w:rPr>
            </w:pPr>
            <w:r w:rsidRPr="0085597D">
              <w:rPr>
                <w:rFonts w:cs="Arial"/>
                <w:b/>
                <w:lang w:val="ru-RU"/>
              </w:rPr>
              <w:t>Географска дистрибуција на изложеноста на кредитен ризик- РМ, земјите-членки на ЕУ, останатите земји во Европа, земјите-членки на ОЕЦД (со исклучок на земјите од Европа), останати земји</w:t>
            </w:r>
          </w:p>
        </w:tc>
        <w:tc>
          <w:tcPr>
            <w:tcW w:w="8657" w:type="dxa"/>
            <w:gridSpan w:val="2"/>
          </w:tcPr>
          <w:p w14:paraId="4436C6BA" w14:textId="77777777" w:rsidR="00470167" w:rsidRPr="00A656CC" w:rsidRDefault="00470167" w:rsidP="00470167">
            <w:pPr>
              <w:rPr>
                <w:rFonts w:cs="Arial"/>
                <w:lang w:val="mk-MK"/>
              </w:rPr>
            </w:pPr>
          </w:p>
          <w:p w14:paraId="0472A624" w14:textId="77777777" w:rsidR="00470167" w:rsidRDefault="00000000" w:rsidP="00470167">
            <w:pPr>
              <w:rPr>
                <w:rFonts w:cs="Arial"/>
                <w:color w:val="FF0000"/>
                <w:lang w:val="en-US"/>
              </w:rPr>
            </w:pPr>
            <w:hyperlink r:id="rId17" w:history="1">
              <w:r w:rsidR="00470167">
                <w:rPr>
                  <w:rStyle w:val="Hyperlink"/>
                </w:rPr>
                <w:t>Predloga za oblikovanje navadnih dokumentov (nlb.mk)</w:t>
              </w:r>
            </w:hyperlink>
          </w:p>
          <w:p w14:paraId="3D5C5B04" w14:textId="77777777" w:rsidR="00470167" w:rsidRPr="00DF2C3D" w:rsidRDefault="00470167" w:rsidP="00470167">
            <w:pPr>
              <w:autoSpaceDE w:val="0"/>
              <w:autoSpaceDN w:val="0"/>
              <w:adjustRightInd w:val="0"/>
              <w:rPr>
                <w:rFonts w:cs="Arial"/>
                <w:color w:val="FF0000"/>
                <w:lang w:val="mk-MK"/>
              </w:rPr>
            </w:pPr>
          </w:p>
          <w:p w14:paraId="1B1C7B2D" w14:textId="77777777" w:rsidR="00470167" w:rsidRPr="00BF05D1" w:rsidRDefault="00470167" w:rsidP="00470167">
            <w:pPr>
              <w:rPr>
                <w:rFonts w:cs="Arial"/>
                <w:color w:val="FF0000"/>
                <w:lang w:val="mk-MK"/>
              </w:rPr>
            </w:pPr>
            <w:r w:rsidRPr="00BF05D1">
              <w:rPr>
                <w:color w:val="FF0000"/>
              </w:rPr>
              <w:t xml:space="preserve"> </w:t>
            </w:r>
          </w:p>
          <w:p w14:paraId="2EAE3535" w14:textId="77777777" w:rsidR="00470167" w:rsidRPr="00D2359B" w:rsidRDefault="00470167" w:rsidP="00470167">
            <w:pPr>
              <w:rPr>
                <w:rFonts w:cs="Arial"/>
                <w:lang w:val="mk-MK"/>
              </w:rPr>
            </w:pPr>
            <w:r w:rsidRPr="00D2359B">
              <w:rPr>
                <w:rFonts w:cs="Arial"/>
                <w:lang w:val="mk-MK"/>
              </w:rPr>
              <w:t xml:space="preserve">Табела 2.1 Г– Концентрација на кредитниот ризик по </w:t>
            </w:r>
          </w:p>
          <w:p w14:paraId="5F69858C" w14:textId="6C3BED25" w:rsidR="00470167" w:rsidRPr="00A656CC" w:rsidRDefault="00470167" w:rsidP="00470167">
            <w:pPr>
              <w:rPr>
                <w:rFonts w:cs="Arial"/>
                <w:lang w:val="ru-RU"/>
              </w:rPr>
            </w:pPr>
            <w:r w:rsidRPr="00D2359B">
              <w:rPr>
                <w:rFonts w:cs="Arial"/>
                <w:lang w:val="mk-MK"/>
              </w:rPr>
              <w:t>по географска локација, стр.</w:t>
            </w:r>
            <w:r w:rsidRPr="00D2359B">
              <w:rPr>
                <w:rFonts w:cs="Arial"/>
                <w:lang w:val="en-US"/>
              </w:rPr>
              <w:t xml:space="preserve">77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470167" w:rsidRPr="0085597D" w14:paraId="36B2C0EA" w14:textId="77777777" w:rsidTr="000B7C52">
        <w:tblPrEx>
          <w:tblLook w:val="0000" w:firstRow="0" w:lastRow="0" w:firstColumn="0" w:lastColumn="0" w:noHBand="0" w:noVBand="0"/>
        </w:tblPrEx>
        <w:trPr>
          <w:trHeight w:val="525"/>
        </w:trPr>
        <w:tc>
          <w:tcPr>
            <w:tcW w:w="1702" w:type="dxa"/>
            <w:gridSpan w:val="2"/>
          </w:tcPr>
          <w:p w14:paraId="0A4FBA8B" w14:textId="77777777" w:rsidR="00470167" w:rsidRPr="0085597D" w:rsidRDefault="00470167" w:rsidP="00470167">
            <w:pPr>
              <w:rPr>
                <w:rFonts w:cs="Arial"/>
                <w:b/>
                <w:lang w:val="ru-RU"/>
              </w:rPr>
            </w:pPr>
            <w:r w:rsidRPr="0085597D">
              <w:rPr>
                <w:rFonts w:cs="Arial"/>
                <w:b/>
                <w:lang w:val="ru-RU"/>
              </w:rPr>
              <w:t xml:space="preserve">Секторска дистрибуција на изложеноста на кредитен ризик – изложеност кон банки, други </w:t>
            </w:r>
            <w:r w:rsidRPr="0085597D">
              <w:rPr>
                <w:rFonts w:cs="Arial"/>
                <w:b/>
                <w:lang w:val="ru-RU"/>
              </w:rPr>
              <w:lastRenderedPageBreak/>
              <w:t>финансиски институции, нефинансиски институции, домаќинства, држава, непрофитни институции кои им служат на домаќинствата, нерезиденти</w:t>
            </w:r>
          </w:p>
        </w:tc>
        <w:tc>
          <w:tcPr>
            <w:tcW w:w="8657" w:type="dxa"/>
            <w:gridSpan w:val="2"/>
          </w:tcPr>
          <w:p w14:paraId="2FB42A75" w14:textId="77777777" w:rsidR="00470167" w:rsidRPr="0085597D" w:rsidRDefault="00470167" w:rsidP="00470167">
            <w:pPr>
              <w:rPr>
                <w:rFonts w:cs="Arial"/>
                <w:lang w:val="mk-MK"/>
              </w:rPr>
            </w:pPr>
          </w:p>
          <w:p w14:paraId="2AE2F959" w14:textId="77777777" w:rsidR="00470167" w:rsidRDefault="00000000" w:rsidP="00470167">
            <w:pPr>
              <w:rPr>
                <w:rFonts w:cs="Arial"/>
                <w:color w:val="FF0000"/>
                <w:lang w:val="en-US"/>
              </w:rPr>
            </w:pPr>
            <w:hyperlink r:id="rId18" w:history="1">
              <w:r w:rsidR="00470167">
                <w:rPr>
                  <w:rStyle w:val="Hyperlink"/>
                </w:rPr>
                <w:t>Predloga za oblikovanje navadnih dokumentov (nlb.mk)</w:t>
              </w:r>
            </w:hyperlink>
          </w:p>
          <w:p w14:paraId="60849CB4" w14:textId="77777777" w:rsidR="00470167" w:rsidRPr="00DF2C3D" w:rsidRDefault="00470167" w:rsidP="00470167">
            <w:pPr>
              <w:autoSpaceDE w:val="0"/>
              <w:autoSpaceDN w:val="0"/>
              <w:adjustRightInd w:val="0"/>
              <w:rPr>
                <w:rFonts w:cs="Arial"/>
                <w:color w:val="FF0000"/>
                <w:lang w:val="en-US"/>
              </w:rPr>
            </w:pPr>
          </w:p>
          <w:p w14:paraId="5A7C8945" w14:textId="77777777" w:rsidR="00470167" w:rsidRPr="00DF2C3D" w:rsidRDefault="00470167" w:rsidP="00470167">
            <w:pPr>
              <w:autoSpaceDE w:val="0"/>
              <w:autoSpaceDN w:val="0"/>
              <w:adjustRightInd w:val="0"/>
              <w:rPr>
                <w:rFonts w:cs="Arial"/>
                <w:color w:val="FF0000"/>
                <w:lang w:val="mk-MK"/>
              </w:rPr>
            </w:pPr>
          </w:p>
          <w:p w14:paraId="76AAFAC6" w14:textId="77777777" w:rsidR="00470167" w:rsidRPr="00BF05D1" w:rsidRDefault="00470167" w:rsidP="00470167">
            <w:pPr>
              <w:rPr>
                <w:rFonts w:cs="Arial"/>
                <w:color w:val="FF0000"/>
              </w:rPr>
            </w:pPr>
          </w:p>
          <w:p w14:paraId="18636E8D" w14:textId="77777777" w:rsidR="00470167" w:rsidRPr="00BF05D1" w:rsidRDefault="00470167" w:rsidP="00470167">
            <w:pPr>
              <w:rPr>
                <w:rFonts w:cs="Arial"/>
                <w:color w:val="FF0000"/>
                <w:lang w:val="mk-MK"/>
              </w:rPr>
            </w:pPr>
          </w:p>
          <w:p w14:paraId="59B6038B" w14:textId="3994CB00" w:rsidR="00470167" w:rsidRPr="00A656CC" w:rsidRDefault="00470167" w:rsidP="00470167">
            <w:pPr>
              <w:rPr>
                <w:rFonts w:cs="Arial"/>
                <w:lang w:val="mk-MK"/>
              </w:rPr>
            </w:pPr>
            <w:r w:rsidRPr="00D2359B">
              <w:rPr>
                <w:rFonts w:cs="Arial"/>
                <w:lang w:val="mk-MK"/>
              </w:rPr>
              <w:t xml:space="preserve">Табела </w:t>
            </w:r>
            <w:r w:rsidRPr="00D2359B">
              <w:rPr>
                <w:rFonts w:cs="Arial"/>
                <w:bCs/>
                <w:lang w:val="mk-MK" w:eastAsia="mk-MK"/>
              </w:rPr>
              <w:t>22.1 Кредити на и побарувања од банки</w:t>
            </w:r>
            <w:r w:rsidRPr="00D2359B">
              <w:rPr>
                <w:rFonts w:cs="Arial"/>
                <w:bCs/>
                <w:lang w:val="en-US" w:eastAsia="mk-MK"/>
              </w:rPr>
              <w:t xml:space="preserve"> </w:t>
            </w:r>
            <w:r w:rsidRPr="00D2359B">
              <w:rPr>
                <w:rFonts w:cs="Arial"/>
                <w:bCs/>
                <w:lang w:val="mk-MK" w:eastAsia="mk-MK"/>
              </w:rPr>
              <w:t xml:space="preserve">и 22.2 Кредити на и побарувања од други комитенти, од стр. </w:t>
            </w:r>
            <w:proofErr w:type="gramStart"/>
            <w:r w:rsidRPr="00D2359B">
              <w:rPr>
                <w:rFonts w:cs="Arial"/>
                <w:bCs/>
                <w:lang w:val="en-US" w:eastAsia="mk-MK"/>
              </w:rPr>
              <w:t xml:space="preserve">114 </w:t>
            </w:r>
            <w:r w:rsidRPr="00D2359B">
              <w:rPr>
                <w:rFonts w:cs="Arial"/>
                <w:bCs/>
                <w:lang w:val="mk-MK" w:eastAsia="mk-MK"/>
              </w:rPr>
              <w:t xml:space="preserve"> до</w:t>
            </w:r>
            <w:proofErr w:type="gramEnd"/>
            <w:r w:rsidRPr="00D2359B">
              <w:rPr>
                <w:rFonts w:cs="Arial"/>
                <w:bCs/>
                <w:lang w:val="mk-MK" w:eastAsia="mk-MK"/>
              </w:rPr>
              <w:t xml:space="preserve"> </w:t>
            </w:r>
            <w:r w:rsidRPr="00D2359B">
              <w:rPr>
                <w:rFonts w:cs="Arial"/>
                <w:lang w:val="mk-MK"/>
              </w:rPr>
              <w:t>стр.</w:t>
            </w:r>
            <w:r w:rsidRPr="00D2359B">
              <w:rPr>
                <w:rFonts w:cs="Arial"/>
                <w:lang w:val="en-US"/>
              </w:rPr>
              <w:t xml:space="preserve">115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470167" w:rsidRPr="0085597D" w14:paraId="7BCA0C12" w14:textId="77777777" w:rsidTr="000B7C52">
        <w:tblPrEx>
          <w:tblLook w:val="0000" w:firstRow="0" w:lastRow="0" w:firstColumn="0" w:lastColumn="0" w:noHBand="0" w:noVBand="0"/>
        </w:tblPrEx>
        <w:trPr>
          <w:trHeight w:val="70"/>
        </w:trPr>
        <w:tc>
          <w:tcPr>
            <w:tcW w:w="1702" w:type="dxa"/>
            <w:gridSpan w:val="2"/>
          </w:tcPr>
          <w:p w14:paraId="029FAD8C" w14:textId="77777777" w:rsidR="00470167" w:rsidRPr="0085597D" w:rsidRDefault="00470167" w:rsidP="00470167">
            <w:pPr>
              <w:rPr>
                <w:rFonts w:cs="Arial"/>
                <w:b/>
                <w:lang w:val="en-US"/>
              </w:rPr>
            </w:pPr>
          </w:p>
          <w:p w14:paraId="42D193D9" w14:textId="77777777" w:rsidR="00470167" w:rsidRPr="0085597D" w:rsidRDefault="00470167" w:rsidP="00470167">
            <w:pPr>
              <w:rPr>
                <w:rFonts w:cs="Arial"/>
                <w:b/>
                <w:lang w:val="en-US"/>
              </w:rPr>
            </w:pPr>
            <w:r w:rsidRPr="0085597D">
              <w:rPr>
                <w:rFonts w:cs="Arial"/>
                <w:b/>
                <w:lang w:val="ru-RU"/>
              </w:rPr>
              <w:t>Резидуална договорна рочна структура на изложеноста на кредитен ризик (со рок на достасување до и над една година</w:t>
            </w:r>
          </w:p>
        </w:tc>
        <w:tc>
          <w:tcPr>
            <w:tcW w:w="8657" w:type="dxa"/>
            <w:gridSpan w:val="2"/>
          </w:tcPr>
          <w:p w14:paraId="39EE52C9" w14:textId="77777777" w:rsidR="00470167" w:rsidRPr="0085597D" w:rsidRDefault="00470167" w:rsidP="00470167">
            <w:pPr>
              <w:rPr>
                <w:lang w:val="mk-MK"/>
              </w:rPr>
            </w:pPr>
          </w:p>
          <w:p w14:paraId="06EAAAE3" w14:textId="77777777" w:rsidR="00470167" w:rsidRPr="0085597D" w:rsidRDefault="00470167" w:rsidP="00470167">
            <w:pPr>
              <w:rPr>
                <w:lang w:val="mk-MK"/>
              </w:rPr>
            </w:pPr>
          </w:p>
          <w:p w14:paraId="73AA6CFA" w14:textId="77777777" w:rsidR="00470167" w:rsidRDefault="00000000" w:rsidP="00470167">
            <w:pPr>
              <w:rPr>
                <w:rFonts w:cs="Arial"/>
                <w:color w:val="FF0000"/>
                <w:lang w:val="en-US"/>
              </w:rPr>
            </w:pPr>
            <w:hyperlink r:id="rId19" w:history="1">
              <w:r w:rsidR="00470167">
                <w:rPr>
                  <w:rStyle w:val="Hyperlink"/>
                </w:rPr>
                <w:t>Predloga za oblikovanje navadnih dokumentov (nlb.mk)</w:t>
              </w:r>
            </w:hyperlink>
          </w:p>
          <w:p w14:paraId="6C239A98" w14:textId="77777777" w:rsidR="00470167" w:rsidRPr="00DF2C3D" w:rsidRDefault="00470167" w:rsidP="00470167">
            <w:pPr>
              <w:autoSpaceDE w:val="0"/>
              <w:autoSpaceDN w:val="0"/>
              <w:adjustRightInd w:val="0"/>
              <w:rPr>
                <w:rFonts w:cs="Arial"/>
                <w:color w:val="FF0000"/>
                <w:lang w:val="mk-MK"/>
              </w:rPr>
            </w:pPr>
          </w:p>
          <w:p w14:paraId="2CEEA917" w14:textId="77777777" w:rsidR="00470167" w:rsidRPr="00BF05D1" w:rsidRDefault="00470167" w:rsidP="00470167">
            <w:pPr>
              <w:autoSpaceDE w:val="0"/>
              <w:autoSpaceDN w:val="0"/>
              <w:adjustRightInd w:val="0"/>
              <w:rPr>
                <w:rFonts w:cs="Arial"/>
                <w:color w:val="FF0000"/>
                <w:lang w:val="mk-MK"/>
              </w:rPr>
            </w:pPr>
          </w:p>
          <w:p w14:paraId="5AD9922C" w14:textId="77777777" w:rsidR="00470167" w:rsidRPr="00D2359B" w:rsidRDefault="00470167" w:rsidP="00470167">
            <w:pPr>
              <w:autoSpaceDE w:val="0"/>
              <w:autoSpaceDN w:val="0"/>
              <w:adjustRightInd w:val="0"/>
              <w:rPr>
                <w:rFonts w:cs="Arial"/>
                <w:lang w:val="mk-MK"/>
              </w:rPr>
            </w:pPr>
            <w:r w:rsidRPr="00D2359B">
              <w:rPr>
                <w:rFonts w:cs="Arial"/>
                <w:lang w:val="mk-MK"/>
              </w:rPr>
              <w:t>Табела 2.2 Ризик на ликвидност</w:t>
            </w:r>
          </w:p>
          <w:p w14:paraId="3F60B344" w14:textId="67C99260" w:rsidR="00470167" w:rsidRPr="00A656CC" w:rsidRDefault="00470167" w:rsidP="00470167">
            <w:pPr>
              <w:rPr>
                <w:rFonts w:cs="Arial"/>
                <w:lang w:val="mk-MK"/>
              </w:rPr>
            </w:pPr>
            <w:r w:rsidRPr="00D2359B">
              <w:rPr>
                <w:rFonts w:cs="Arial"/>
                <w:lang w:val="mk-MK"/>
              </w:rPr>
              <w:t>Анализа според достасаноста на финансиските средства и обврски (преостаната рочност) стр.</w:t>
            </w:r>
            <w:r w:rsidRPr="00D2359B">
              <w:rPr>
                <w:rFonts w:cs="Arial"/>
                <w:lang w:val="en-GB"/>
              </w:rPr>
              <w:t xml:space="preserve">78 </w:t>
            </w:r>
            <w:r w:rsidRPr="00D2359B">
              <w:rPr>
                <w:rFonts w:cs="Arial"/>
                <w:lang w:val="en-US"/>
              </w:rPr>
              <w:t xml:space="preserve">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470167" w:rsidRPr="0085597D" w14:paraId="3DDA2DA0" w14:textId="77777777" w:rsidTr="000B7C52">
        <w:tblPrEx>
          <w:tblLook w:val="0000" w:firstRow="0" w:lastRow="0" w:firstColumn="0" w:lastColumn="0" w:noHBand="0" w:noVBand="0"/>
        </w:tblPrEx>
        <w:trPr>
          <w:trHeight w:val="823"/>
        </w:trPr>
        <w:tc>
          <w:tcPr>
            <w:tcW w:w="1702" w:type="dxa"/>
            <w:gridSpan w:val="2"/>
          </w:tcPr>
          <w:p w14:paraId="113DFC9D" w14:textId="77777777" w:rsidR="00470167" w:rsidRPr="0085597D" w:rsidRDefault="00470167" w:rsidP="00470167">
            <w:pPr>
              <w:rPr>
                <w:rFonts w:cs="Arial"/>
                <w:b/>
                <w:lang w:val="en-US"/>
              </w:rPr>
            </w:pPr>
          </w:p>
          <w:p w14:paraId="1210C012" w14:textId="77777777" w:rsidR="00470167" w:rsidRPr="0085597D" w:rsidRDefault="00470167" w:rsidP="00470167">
            <w:pPr>
              <w:rPr>
                <w:rFonts w:cs="Arial"/>
                <w:b/>
                <w:lang w:val="en-US"/>
              </w:rPr>
            </w:pPr>
            <w:r w:rsidRPr="0085597D">
              <w:rPr>
                <w:rFonts w:cs="Arial"/>
                <w:b/>
                <w:lang w:val="ru-RU"/>
              </w:rPr>
              <w:t>Структура на изложеноста на кредитен ризик по дејности</w:t>
            </w:r>
            <w:r w:rsidRPr="0085597D">
              <w:rPr>
                <w:rFonts w:cs="Arial"/>
                <w:b/>
                <w:lang w:val="en-US"/>
              </w:rPr>
              <w:t xml:space="preserve"> </w:t>
            </w:r>
          </w:p>
          <w:p w14:paraId="27A52C63" w14:textId="77777777" w:rsidR="00470167" w:rsidRPr="0085597D" w:rsidRDefault="00470167" w:rsidP="00470167">
            <w:pPr>
              <w:rPr>
                <w:rFonts w:cs="Arial"/>
                <w:b/>
                <w:lang w:val="en-US"/>
              </w:rPr>
            </w:pPr>
          </w:p>
        </w:tc>
        <w:tc>
          <w:tcPr>
            <w:tcW w:w="8657" w:type="dxa"/>
            <w:gridSpan w:val="2"/>
          </w:tcPr>
          <w:p w14:paraId="6E7CA1BD" w14:textId="77777777" w:rsidR="00470167" w:rsidRPr="00D2359B" w:rsidRDefault="00000000" w:rsidP="00470167">
            <w:pPr>
              <w:rPr>
                <w:rFonts w:cs="Arial"/>
                <w:color w:val="FF0000"/>
                <w:lang w:val="en-US"/>
              </w:rPr>
            </w:pPr>
            <w:hyperlink r:id="rId20" w:history="1">
              <w:r w:rsidR="00470167" w:rsidRPr="00D2359B">
                <w:rPr>
                  <w:rStyle w:val="Hyperlink"/>
                </w:rPr>
                <w:t>Predloga za oblikovanje navadnih dokumentov (nlb.mk)</w:t>
              </w:r>
            </w:hyperlink>
          </w:p>
          <w:p w14:paraId="3E55D2C9" w14:textId="77777777" w:rsidR="00470167" w:rsidRPr="00D2359B" w:rsidRDefault="00470167" w:rsidP="00470167">
            <w:pPr>
              <w:rPr>
                <w:rFonts w:cs="Arial"/>
                <w:color w:val="FF0000"/>
                <w:lang w:val="mk-MK"/>
              </w:rPr>
            </w:pPr>
          </w:p>
          <w:p w14:paraId="465B7667" w14:textId="7D843E0F" w:rsidR="00470167" w:rsidRPr="00D2359B" w:rsidRDefault="00470167" w:rsidP="00470167">
            <w:pPr>
              <w:rPr>
                <w:rFonts w:cs="Arial"/>
                <w:lang w:val="mk-MK"/>
              </w:rPr>
            </w:pPr>
            <w:r w:rsidRPr="00D2359B">
              <w:rPr>
                <w:color w:val="FF0000"/>
              </w:rPr>
              <w:t xml:space="preserve"> </w:t>
            </w:r>
            <w:r w:rsidRPr="00D2359B">
              <w:rPr>
                <w:rFonts w:cs="Arial"/>
                <w:lang w:val="mk-MK"/>
              </w:rPr>
              <w:t>Табела 2.1 В – Концентрација на кредитниот ризик по сектори и дејности, стр.</w:t>
            </w:r>
            <w:r w:rsidRPr="00D2359B">
              <w:rPr>
                <w:rFonts w:cs="Arial"/>
                <w:lang w:val="en-US"/>
              </w:rPr>
              <w:t xml:space="preserve">76  </w:t>
            </w:r>
            <w:r w:rsidRPr="00D2359B">
              <w:rPr>
                <w:rFonts w:cs="Arial"/>
                <w:lang w:val="mk-MK"/>
              </w:rPr>
              <w:t xml:space="preserve">(според </w:t>
            </w:r>
            <w:r w:rsidRPr="00D2359B">
              <w:rPr>
                <w:rFonts w:cs="Arial"/>
              </w:rPr>
              <w:t xml:space="preserve">PDF </w:t>
            </w:r>
            <w:r w:rsidRPr="00D2359B">
              <w:rPr>
                <w:rFonts w:cs="Arial"/>
                <w:lang w:val="mk-MK"/>
              </w:rPr>
              <w:t>документот)</w:t>
            </w:r>
          </w:p>
        </w:tc>
      </w:tr>
      <w:tr w:rsidR="00470167" w:rsidRPr="0085597D" w14:paraId="60854A35" w14:textId="77777777" w:rsidTr="000B7C52">
        <w:tblPrEx>
          <w:tblLook w:val="0000" w:firstRow="0" w:lastRow="0" w:firstColumn="0" w:lastColumn="0" w:noHBand="0" w:noVBand="0"/>
        </w:tblPrEx>
        <w:trPr>
          <w:trHeight w:val="3870"/>
        </w:trPr>
        <w:tc>
          <w:tcPr>
            <w:tcW w:w="1702" w:type="dxa"/>
            <w:gridSpan w:val="2"/>
          </w:tcPr>
          <w:p w14:paraId="761535A7" w14:textId="77777777" w:rsidR="00470167" w:rsidRPr="0085597D" w:rsidRDefault="00470167" w:rsidP="00470167">
            <w:pPr>
              <w:rPr>
                <w:rFonts w:cs="Arial"/>
                <w:b/>
                <w:lang w:val="ru-RU"/>
              </w:rPr>
            </w:pPr>
            <w:r w:rsidRPr="0085597D">
              <w:rPr>
                <w:rFonts w:cs="Arial"/>
                <w:b/>
                <w:lang w:val="ru-RU"/>
              </w:rPr>
              <w:t>Најголема изложеност кон одделна дејност во однос на кредитниот ризик односно:</w:t>
            </w:r>
          </w:p>
          <w:p w14:paraId="26B84267" w14:textId="77777777" w:rsidR="00470167" w:rsidRPr="0085597D" w:rsidRDefault="00470167" w:rsidP="00470167">
            <w:pPr>
              <w:numPr>
                <w:ilvl w:val="0"/>
                <w:numId w:val="8"/>
              </w:numPr>
              <w:rPr>
                <w:rFonts w:cs="Arial"/>
                <w:b/>
                <w:lang w:val="ru-RU"/>
              </w:rPr>
            </w:pPr>
            <w:r w:rsidRPr="0085597D">
              <w:rPr>
                <w:rFonts w:cs="Arial"/>
                <w:b/>
                <w:lang w:val="ru-RU"/>
              </w:rPr>
              <w:t>Износ на достасаните кредити</w:t>
            </w:r>
          </w:p>
          <w:p w14:paraId="05D83147" w14:textId="77777777" w:rsidR="00470167" w:rsidRPr="0085597D" w:rsidRDefault="00470167" w:rsidP="00470167">
            <w:pPr>
              <w:numPr>
                <w:ilvl w:val="0"/>
                <w:numId w:val="8"/>
              </w:numPr>
              <w:rPr>
                <w:rFonts w:cs="Arial"/>
                <w:b/>
                <w:lang w:val="ru-RU"/>
              </w:rPr>
            </w:pPr>
            <w:r w:rsidRPr="0085597D">
              <w:rPr>
                <w:rFonts w:cs="Arial"/>
                <w:b/>
                <w:lang w:val="ru-RU"/>
              </w:rPr>
              <w:t>Износ на изложеноста за која е извршена исправка на вредноста, односно е издвоена посебна резерва</w:t>
            </w:r>
          </w:p>
          <w:p w14:paraId="51E72BB0" w14:textId="77777777" w:rsidR="00470167" w:rsidRPr="0085597D" w:rsidRDefault="00470167" w:rsidP="00470167">
            <w:pPr>
              <w:numPr>
                <w:ilvl w:val="0"/>
                <w:numId w:val="8"/>
              </w:numPr>
              <w:rPr>
                <w:rFonts w:cs="Arial"/>
                <w:b/>
                <w:lang w:val="ru-RU"/>
              </w:rPr>
            </w:pPr>
            <w:r w:rsidRPr="0085597D">
              <w:rPr>
                <w:rFonts w:cs="Arial"/>
                <w:b/>
                <w:lang w:val="ru-RU"/>
              </w:rPr>
              <w:t xml:space="preserve">Износ на извршената исправка на вредноста, односно </w:t>
            </w:r>
            <w:r w:rsidRPr="0085597D">
              <w:rPr>
                <w:rFonts w:cs="Arial"/>
                <w:b/>
                <w:lang w:val="ru-RU"/>
              </w:rPr>
              <w:lastRenderedPageBreak/>
              <w:t>издвоената посебна резерва за идентификуваните кредитни загуби од изложеноста кон дејноста</w:t>
            </w:r>
          </w:p>
        </w:tc>
        <w:tc>
          <w:tcPr>
            <w:tcW w:w="8657" w:type="dxa"/>
            <w:gridSpan w:val="2"/>
          </w:tcPr>
          <w:p w14:paraId="5D2CDAB1" w14:textId="77777777" w:rsidR="00470167" w:rsidRDefault="00000000" w:rsidP="00470167">
            <w:pPr>
              <w:rPr>
                <w:rFonts w:cs="Arial"/>
                <w:color w:val="FF0000"/>
                <w:lang w:val="en-US"/>
              </w:rPr>
            </w:pPr>
            <w:hyperlink r:id="rId21" w:history="1">
              <w:r w:rsidR="00470167">
                <w:rPr>
                  <w:rStyle w:val="Hyperlink"/>
                </w:rPr>
                <w:t>Predloga za oblikovanje navadnih dokumentov (nlb.mk)</w:t>
              </w:r>
            </w:hyperlink>
          </w:p>
          <w:p w14:paraId="1CCE94EA" w14:textId="77777777" w:rsidR="00470167" w:rsidRPr="00BF05D1" w:rsidRDefault="00470167" w:rsidP="00470167">
            <w:pPr>
              <w:autoSpaceDE w:val="0"/>
              <w:autoSpaceDN w:val="0"/>
              <w:adjustRightInd w:val="0"/>
              <w:rPr>
                <w:rFonts w:cs="Arial"/>
                <w:color w:val="FF0000"/>
                <w:lang w:val="mk-MK"/>
              </w:rPr>
            </w:pPr>
          </w:p>
          <w:p w14:paraId="3C339BF7" w14:textId="77777777" w:rsidR="00470167" w:rsidRPr="00BF05D1" w:rsidRDefault="00470167" w:rsidP="00470167">
            <w:pPr>
              <w:rPr>
                <w:rFonts w:cs="Arial"/>
                <w:color w:val="FF0000"/>
                <w:lang w:val="mk-MK"/>
              </w:rPr>
            </w:pPr>
          </w:p>
          <w:p w14:paraId="22F32D19" w14:textId="77777777" w:rsidR="00470167" w:rsidRPr="00BF05D1" w:rsidRDefault="00470167" w:rsidP="00470167">
            <w:pPr>
              <w:rPr>
                <w:rFonts w:cs="Arial"/>
                <w:color w:val="FF0000"/>
                <w:lang w:val="mk-MK"/>
              </w:rPr>
            </w:pPr>
            <w:r w:rsidRPr="00BF05D1">
              <w:rPr>
                <w:color w:val="FF0000"/>
              </w:rPr>
              <w:t xml:space="preserve"> </w:t>
            </w:r>
          </w:p>
          <w:p w14:paraId="6615CDCE" w14:textId="77777777" w:rsidR="00470167" w:rsidRDefault="00470167" w:rsidP="00470167">
            <w:pPr>
              <w:rPr>
                <w:rFonts w:cs="Arial"/>
                <w:lang w:val="mk-MK"/>
              </w:rPr>
            </w:pPr>
            <w:r w:rsidRPr="00D2359B">
              <w:rPr>
                <w:rFonts w:cs="Arial"/>
                <w:lang w:val="mk-MK"/>
              </w:rPr>
              <w:t>Табела 2.1 В – Концентрација на кредитниот ризик по сектори и дејности, стр.</w:t>
            </w:r>
            <w:r w:rsidRPr="00D2359B">
              <w:rPr>
                <w:rFonts w:cs="Arial"/>
                <w:lang w:val="en-US"/>
              </w:rPr>
              <w:t xml:space="preserve">76  </w:t>
            </w:r>
            <w:r w:rsidRPr="00D2359B">
              <w:rPr>
                <w:rFonts w:cs="Arial"/>
                <w:lang w:val="mk-MK"/>
              </w:rPr>
              <w:t xml:space="preserve">(според </w:t>
            </w:r>
            <w:r w:rsidRPr="00D2359B">
              <w:rPr>
                <w:rFonts w:cs="Arial"/>
              </w:rPr>
              <w:t xml:space="preserve">PDF </w:t>
            </w:r>
            <w:r w:rsidRPr="00D2359B">
              <w:rPr>
                <w:rFonts w:cs="Arial"/>
                <w:lang w:val="mk-MK"/>
              </w:rPr>
              <w:t>документот)</w:t>
            </w:r>
          </w:p>
          <w:p w14:paraId="6D853ABD" w14:textId="77777777" w:rsidR="00470167" w:rsidRDefault="00470167" w:rsidP="00470167">
            <w:pPr>
              <w:rPr>
                <w:rFonts w:cs="Arial"/>
                <w:lang w:val="mk-MK"/>
              </w:rPr>
            </w:pPr>
          </w:p>
          <w:p w14:paraId="2B2B5BDF" w14:textId="77777777" w:rsidR="00470167" w:rsidRDefault="00470167" w:rsidP="00470167">
            <w:pPr>
              <w:rPr>
                <w:rFonts w:cs="Arial"/>
                <w:lang w:val="mk-MK"/>
              </w:rPr>
            </w:pPr>
          </w:p>
          <w:p w14:paraId="3970538D" w14:textId="77777777" w:rsidR="00470167" w:rsidRPr="00AB5F8B" w:rsidRDefault="00470167" w:rsidP="00470167">
            <w:pPr>
              <w:rPr>
                <w:rFonts w:cs="Arial"/>
                <w:lang w:val="mk-MK"/>
              </w:rPr>
            </w:pPr>
          </w:p>
          <w:p w14:paraId="25422463" w14:textId="77777777" w:rsidR="00470167" w:rsidRDefault="00470167" w:rsidP="00470167">
            <w:pPr>
              <w:rPr>
                <w:rFonts w:cs="Arial"/>
                <w:lang w:val="mk-MK"/>
              </w:rPr>
            </w:pPr>
          </w:p>
          <w:bookmarkStart w:id="1" w:name="_MON_1778321989"/>
          <w:bookmarkEnd w:id="1"/>
          <w:p w14:paraId="7934253B" w14:textId="60F8F660" w:rsidR="00470167" w:rsidRPr="00A656CC" w:rsidRDefault="001A2CA9" w:rsidP="00470167">
            <w:pPr>
              <w:rPr>
                <w:rFonts w:cs="Arial"/>
                <w:lang w:val="mk-MK"/>
              </w:rPr>
            </w:pPr>
            <w:r>
              <w:rPr>
                <w:rFonts w:cs="Arial"/>
                <w:lang w:val="mk-MK"/>
              </w:rPr>
              <w:object w:dxaOrig="1440" w:dyaOrig="932" w14:anchorId="64E2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7.25pt" o:ole="">
                  <v:imagedata r:id="rId22" o:title=""/>
                </v:shape>
                <o:OLEObject Type="Embed" ProgID="Excel.Sheet.12" ShapeID="_x0000_i1025" DrawAspect="Icon" ObjectID="_1782303157" r:id="rId23"/>
              </w:object>
            </w:r>
          </w:p>
        </w:tc>
      </w:tr>
      <w:tr w:rsidR="00470167" w:rsidRPr="0085597D" w14:paraId="2BDE31E0" w14:textId="77777777" w:rsidTr="000B7C52">
        <w:tblPrEx>
          <w:tblLook w:val="0000" w:firstRow="0" w:lastRow="0" w:firstColumn="0" w:lastColumn="0" w:noHBand="0" w:noVBand="0"/>
        </w:tblPrEx>
        <w:trPr>
          <w:trHeight w:val="270"/>
        </w:trPr>
        <w:tc>
          <w:tcPr>
            <w:tcW w:w="1702" w:type="dxa"/>
            <w:gridSpan w:val="2"/>
          </w:tcPr>
          <w:p w14:paraId="747CC42B" w14:textId="77777777" w:rsidR="00470167" w:rsidRPr="00A656CC" w:rsidRDefault="00470167" w:rsidP="00470167">
            <w:pPr>
              <w:rPr>
                <w:rFonts w:cs="Arial"/>
                <w:b/>
                <w:lang w:val="ru-RU"/>
              </w:rPr>
            </w:pPr>
            <w:r w:rsidRPr="00A656CC">
              <w:rPr>
                <w:rFonts w:cs="Arial"/>
                <w:b/>
                <w:lang w:val="ru-RU"/>
              </w:rPr>
              <w:t>Износ на преструктурираните побарувања согласно со Одлуката за супервизорските стандарди за регулирање на достасаните а ненаплатени побарувања на Банката</w:t>
            </w:r>
          </w:p>
        </w:tc>
        <w:tc>
          <w:tcPr>
            <w:tcW w:w="8657" w:type="dxa"/>
            <w:gridSpan w:val="2"/>
          </w:tcPr>
          <w:p w14:paraId="717E9B8E" w14:textId="77777777" w:rsidR="00470167" w:rsidRPr="00A656CC" w:rsidRDefault="00470167" w:rsidP="00470167">
            <w:pPr>
              <w:ind w:left="360"/>
              <w:rPr>
                <w:rFonts w:cs="Arial"/>
                <w:lang w:val="ru-RU"/>
              </w:rPr>
            </w:pPr>
          </w:p>
          <w:p w14:paraId="21229332" w14:textId="77777777" w:rsidR="00470167" w:rsidRPr="00A656CC" w:rsidRDefault="00470167" w:rsidP="00470167">
            <w:pPr>
              <w:rPr>
                <w:color w:val="000000"/>
              </w:rPr>
            </w:pPr>
          </w:p>
          <w:p w14:paraId="46759B56" w14:textId="154E3AC3" w:rsidR="00470167" w:rsidRPr="00E3223F" w:rsidRDefault="00470167" w:rsidP="00470167">
            <w:pPr>
              <w:rPr>
                <w:color w:val="000000"/>
              </w:rPr>
            </w:pPr>
            <w:r w:rsidRPr="00E3223F">
              <w:rPr>
                <w:color w:val="000000"/>
                <w:lang w:val="ru-RU"/>
              </w:rPr>
              <w:t xml:space="preserve">Износот на реструктурирани побарувања по кредити по главен долг за Физички лица </w:t>
            </w:r>
            <w:r w:rsidRPr="00E3223F">
              <w:rPr>
                <w:color w:val="000000"/>
              </w:rPr>
              <w:t>на 31.12.20</w:t>
            </w:r>
            <w:r w:rsidR="00FF2E68">
              <w:rPr>
                <w:color w:val="000000"/>
                <w:lang w:val="en-US"/>
              </w:rPr>
              <w:t>23</w:t>
            </w:r>
            <w:r w:rsidRPr="00E3223F">
              <w:rPr>
                <w:color w:val="000000"/>
                <w:lang w:val="ru-RU"/>
              </w:rPr>
              <w:t xml:space="preserve"> изнесува </w:t>
            </w:r>
            <w:r w:rsidRPr="00E3223F">
              <w:rPr>
                <w:color w:val="000000"/>
                <w:lang w:val="mk-MK"/>
              </w:rPr>
              <w:t>106.468</w:t>
            </w:r>
            <w:r w:rsidRPr="00E3223F">
              <w:rPr>
                <w:color w:val="000000"/>
                <w:lang w:val="en-GB"/>
              </w:rPr>
              <w:t xml:space="preserve"> </w:t>
            </w:r>
            <w:r w:rsidRPr="00E3223F">
              <w:rPr>
                <w:color w:val="000000"/>
                <w:lang w:val="mk-MK"/>
              </w:rPr>
              <w:t>илјади</w:t>
            </w:r>
            <w:r w:rsidRPr="00E3223F">
              <w:rPr>
                <w:color w:val="000000"/>
                <w:lang w:val="en-US"/>
              </w:rPr>
              <w:t xml:space="preserve"> МКД</w:t>
            </w:r>
            <w:r w:rsidRPr="00E3223F">
              <w:rPr>
                <w:color w:val="000000"/>
              </w:rPr>
              <w:t>.</w:t>
            </w:r>
          </w:p>
          <w:p w14:paraId="28D51899" w14:textId="77777777" w:rsidR="00470167" w:rsidRPr="00E3223F" w:rsidRDefault="00470167" w:rsidP="00470167">
            <w:pPr>
              <w:rPr>
                <w:color w:val="000000"/>
              </w:rPr>
            </w:pPr>
          </w:p>
          <w:p w14:paraId="121D5DB5" w14:textId="73D59861" w:rsidR="00470167" w:rsidRPr="00A656CC" w:rsidRDefault="00470167" w:rsidP="00470167">
            <w:pPr>
              <w:rPr>
                <w:color w:val="000000"/>
                <w:lang w:val="en-US"/>
              </w:rPr>
            </w:pPr>
            <w:r w:rsidRPr="00E3223F">
              <w:rPr>
                <w:color w:val="000000"/>
                <w:lang w:val="ru-RU"/>
              </w:rPr>
              <w:t xml:space="preserve">Износот на реструктурирани побарувања по кредити по главен долг за Правни лица на ден </w:t>
            </w:r>
            <w:r w:rsidRPr="00E3223F">
              <w:rPr>
                <w:color w:val="000000"/>
                <w:lang w:val="en-US"/>
              </w:rPr>
              <w:t>31.12.20</w:t>
            </w:r>
            <w:r w:rsidR="00FF2E68">
              <w:rPr>
                <w:color w:val="000000"/>
                <w:lang w:val="en-US"/>
              </w:rPr>
              <w:t>23</w:t>
            </w:r>
            <w:r w:rsidRPr="00E3223F">
              <w:rPr>
                <w:color w:val="000000"/>
                <w:lang w:val="ru-RU"/>
              </w:rPr>
              <w:t xml:space="preserve"> изнесува </w:t>
            </w:r>
            <w:r w:rsidRPr="00E3223F">
              <w:rPr>
                <w:color w:val="000000"/>
                <w:lang w:val="mk-MK"/>
              </w:rPr>
              <w:t xml:space="preserve">1.110.112 илјади </w:t>
            </w:r>
            <w:r w:rsidRPr="00E3223F">
              <w:rPr>
                <w:color w:val="000000"/>
              </w:rPr>
              <w:t>МКД.</w:t>
            </w:r>
          </w:p>
          <w:p w14:paraId="0BA09E1B" w14:textId="77777777" w:rsidR="00470167" w:rsidRPr="00A656CC" w:rsidRDefault="00470167" w:rsidP="00470167">
            <w:pPr>
              <w:ind w:left="360"/>
              <w:rPr>
                <w:rFonts w:cs="Arial"/>
                <w:lang w:val="mk-MK"/>
              </w:rPr>
            </w:pPr>
          </w:p>
        </w:tc>
      </w:tr>
      <w:tr w:rsidR="00470167" w:rsidRPr="0085597D" w14:paraId="02FFCD6A" w14:textId="77777777" w:rsidTr="000B7C52">
        <w:tblPrEx>
          <w:tblLook w:val="0000" w:firstRow="0" w:lastRow="0" w:firstColumn="0" w:lastColumn="0" w:noHBand="0" w:noVBand="0"/>
        </w:tblPrEx>
        <w:trPr>
          <w:trHeight w:val="3765"/>
        </w:trPr>
        <w:tc>
          <w:tcPr>
            <w:tcW w:w="1702" w:type="dxa"/>
            <w:gridSpan w:val="2"/>
          </w:tcPr>
          <w:p w14:paraId="062C1D78" w14:textId="1E180958" w:rsidR="00470167" w:rsidRPr="00B92975" w:rsidRDefault="00470167" w:rsidP="00470167">
            <w:pPr>
              <w:rPr>
                <w:rFonts w:cs="Arial"/>
                <w:b/>
                <w:lang w:val="mk-MK"/>
              </w:rPr>
            </w:pPr>
            <w:r w:rsidRPr="00B92975">
              <w:rPr>
                <w:rFonts w:cs="Arial"/>
                <w:b/>
                <w:lang w:val="ru-RU"/>
              </w:rPr>
              <w:t>Движење на исправката на вредност односно издвоената посебна резерва во текот на периодот</w:t>
            </w:r>
            <w:r w:rsidRPr="00B92975">
              <w:rPr>
                <w:rFonts w:cs="Arial"/>
                <w:b/>
                <w:lang w:val="mk-MK"/>
              </w:rPr>
              <w:t xml:space="preserve"> со состојба на 31.12.20</w:t>
            </w:r>
            <w:r w:rsidRPr="00B92975">
              <w:rPr>
                <w:rFonts w:cs="Arial"/>
                <w:b/>
                <w:lang w:val="en-US"/>
              </w:rPr>
              <w:t>23</w:t>
            </w:r>
            <w:r w:rsidRPr="00B92975">
              <w:rPr>
                <w:rFonts w:cs="Arial"/>
                <w:b/>
                <w:lang w:val="mk-MK"/>
              </w:rPr>
              <w:t>, односно:</w:t>
            </w:r>
          </w:p>
          <w:p w14:paraId="657335D2" w14:textId="77777777" w:rsidR="00470167" w:rsidRPr="00B92975" w:rsidRDefault="00470167" w:rsidP="00470167">
            <w:pPr>
              <w:numPr>
                <w:ilvl w:val="0"/>
                <w:numId w:val="8"/>
              </w:numPr>
              <w:rPr>
                <w:rFonts w:cs="Arial"/>
                <w:b/>
                <w:lang w:val="mk-MK"/>
              </w:rPr>
            </w:pPr>
            <w:r w:rsidRPr="00B92975">
              <w:rPr>
                <w:rFonts w:cs="Arial"/>
                <w:b/>
                <w:lang w:val="mk-MK"/>
              </w:rPr>
              <w:t xml:space="preserve">Состојба на почетокот на периодот </w:t>
            </w:r>
          </w:p>
          <w:p w14:paraId="0FE4A018" w14:textId="77777777" w:rsidR="00470167" w:rsidRPr="00B92975" w:rsidRDefault="00470167" w:rsidP="00470167">
            <w:pPr>
              <w:numPr>
                <w:ilvl w:val="0"/>
                <w:numId w:val="9"/>
              </w:numPr>
              <w:rPr>
                <w:rFonts w:cs="Arial"/>
                <w:lang w:val="ru-RU"/>
              </w:rPr>
            </w:pPr>
            <w:r w:rsidRPr="00B92975">
              <w:rPr>
                <w:rFonts w:cs="Arial"/>
                <w:b/>
                <w:lang w:val="mk-MK"/>
              </w:rPr>
              <w:t>Извршена дополнителна исправка на вредноста, односно издвоена посебна резерва</w:t>
            </w:r>
          </w:p>
          <w:p w14:paraId="50DE7449" w14:textId="77777777" w:rsidR="00470167" w:rsidRPr="00B92975" w:rsidRDefault="00470167" w:rsidP="00470167">
            <w:pPr>
              <w:numPr>
                <w:ilvl w:val="0"/>
                <w:numId w:val="9"/>
              </w:numPr>
              <w:rPr>
                <w:rFonts w:cs="Arial"/>
                <w:lang w:val="ru-RU"/>
              </w:rPr>
            </w:pPr>
            <w:r w:rsidRPr="00B92975">
              <w:rPr>
                <w:rFonts w:cs="Arial"/>
                <w:b/>
                <w:lang w:val="mk-MK"/>
              </w:rPr>
              <w:t xml:space="preserve">Ослободување на </w:t>
            </w:r>
            <w:r w:rsidRPr="00B92975">
              <w:rPr>
                <w:rFonts w:cs="Arial"/>
                <w:b/>
                <w:lang w:val="mk-MK"/>
              </w:rPr>
              <w:lastRenderedPageBreak/>
              <w:t>исправката на вредноста, односно на посебната резерва</w:t>
            </w:r>
          </w:p>
          <w:p w14:paraId="011FFDDF" w14:textId="77777777" w:rsidR="00470167" w:rsidRPr="00B92975" w:rsidRDefault="00470167" w:rsidP="00470167">
            <w:pPr>
              <w:numPr>
                <w:ilvl w:val="0"/>
                <w:numId w:val="9"/>
              </w:numPr>
              <w:rPr>
                <w:rFonts w:cs="Arial"/>
                <w:lang w:val="ru-RU"/>
              </w:rPr>
            </w:pPr>
            <w:r w:rsidRPr="00B92975">
              <w:rPr>
                <w:rFonts w:cs="Arial"/>
                <w:b/>
                <w:lang w:val="mk-MK"/>
              </w:rPr>
              <w:t>Отписи во текот на периодот</w:t>
            </w:r>
          </w:p>
          <w:p w14:paraId="435B1653" w14:textId="77777777" w:rsidR="00470167" w:rsidRPr="00B92975" w:rsidRDefault="00470167" w:rsidP="00470167">
            <w:pPr>
              <w:numPr>
                <w:ilvl w:val="0"/>
                <w:numId w:val="9"/>
              </w:numPr>
              <w:rPr>
                <w:rFonts w:cs="Arial"/>
                <w:b/>
                <w:lang w:val="ru-RU"/>
              </w:rPr>
            </w:pPr>
            <w:r w:rsidRPr="00B92975">
              <w:rPr>
                <w:rFonts w:cs="Arial"/>
                <w:b/>
                <w:lang w:val="mk-MK"/>
              </w:rPr>
              <w:t>Состојба на крајот на периодот</w:t>
            </w:r>
          </w:p>
        </w:tc>
        <w:tc>
          <w:tcPr>
            <w:tcW w:w="8657" w:type="dxa"/>
            <w:gridSpan w:val="2"/>
          </w:tcPr>
          <w:p w14:paraId="18743E7B" w14:textId="77777777" w:rsidR="00470167" w:rsidRPr="00B92975" w:rsidRDefault="00470167" w:rsidP="00470167">
            <w:pPr>
              <w:ind w:left="360"/>
            </w:pPr>
          </w:p>
          <w:p w14:paraId="542FADDF" w14:textId="1D02DFF8" w:rsidR="00470167" w:rsidRDefault="00000000" w:rsidP="00470167">
            <w:pPr>
              <w:autoSpaceDE w:val="0"/>
              <w:autoSpaceDN w:val="0"/>
              <w:adjustRightInd w:val="0"/>
              <w:rPr>
                <w:rFonts w:cs="Arial"/>
                <w:lang w:val="en-GB"/>
              </w:rPr>
            </w:pPr>
            <w:hyperlink r:id="rId24" w:history="1">
              <w:r w:rsidR="00B92975" w:rsidRPr="001C2116">
                <w:rPr>
                  <w:rStyle w:val="Hyperlink"/>
                  <w:rFonts w:cs="Arial"/>
                  <w:lang w:val="en-GB"/>
                </w:rPr>
                <w: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w:t>
              </w:r>
            </w:hyperlink>
          </w:p>
          <w:p w14:paraId="5B92DD67" w14:textId="77777777" w:rsidR="00470167" w:rsidRPr="00B92975" w:rsidRDefault="00470167" w:rsidP="00470167">
            <w:pPr>
              <w:rPr>
                <w:rFonts w:cs="Arial"/>
                <w:lang w:val="en-US"/>
              </w:rPr>
            </w:pPr>
          </w:p>
          <w:p w14:paraId="2C449315" w14:textId="77777777" w:rsidR="00470167" w:rsidRPr="00B92975" w:rsidRDefault="00470167" w:rsidP="00470167">
            <w:pPr>
              <w:ind w:left="360"/>
              <w:rPr>
                <w:rFonts w:cs="Arial"/>
                <w:lang w:val="ru-RU"/>
              </w:rPr>
            </w:pPr>
          </w:p>
          <w:p w14:paraId="5DCB5E39" w14:textId="77777777" w:rsidR="00470167" w:rsidRPr="006043CA" w:rsidRDefault="00470167" w:rsidP="00470167">
            <w:pPr>
              <w:ind w:left="360"/>
              <w:rPr>
                <w:rFonts w:cs="Arial"/>
                <w:lang w:val="mk-MK"/>
              </w:rPr>
            </w:pPr>
            <w:r w:rsidRPr="006043CA">
              <w:rPr>
                <w:rFonts w:cs="Arial"/>
                <w:lang w:val="mk-MK"/>
              </w:rPr>
              <w:t xml:space="preserve">Белешка </w:t>
            </w:r>
            <w:r w:rsidRPr="006043CA">
              <w:rPr>
                <w:rFonts w:cs="Arial"/>
                <w:lang w:val="en-US"/>
              </w:rPr>
              <w:t xml:space="preserve">12 </w:t>
            </w:r>
            <w:r w:rsidRPr="006043CA">
              <w:rPr>
                <w:rFonts w:cs="Arial"/>
                <w:lang w:val="mk-MK"/>
              </w:rPr>
              <w:t>Исправка на вредноста на финансиските средства</w:t>
            </w:r>
            <w:r w:rsidRPr="006043CA">
              <w:rPr>
                <w:rFonts w:cs="Arial"/>
                <w:lang w:val="en-US"/>
              </w:rPr>
              <w:t xml:space="preserve"> </w:t>
            </w:r>
            <w:r w:rsidRPr="006043CA">
              <w:rPr>
                <w:rFonts w:cs="Arial"/>
                <w:lang w:val="mk-MK"/>
              </w:rPr>
              <w:t>и посебна резерва за вонбилансна изложеност, на нето-основа, стр.103</w:t>
            </w:r>
            <w:r w:rsidRPr="006043CA">
              <w:rPr>
                <w:rFonts w:cs="Arial"/>
                <w:lang w:val="en-US"/>
              </w:rPr>
              <w:t xml:space="preserve"> </w:t>
            </w:r>
          </w:p>
          <w:p w14:paraId="5DEAA97D" w14:textId="77777777" w:rsidR="00470167" w:rsidRPr="006043CA" w:rsidRDefault="00470167" w:rsidP="00470167">
            <w:pPr>
              <w:ind w:left="360"/>
              <w:rPr>
                <w:rFonts w:cs="Arial"/>
                <w:lang w:val="mk-MK"/>
              </w:rPr>
            </w:pPr>
            <w:r w:rsidRPr="006043CA">
              <w:rPr>
                <w:rFonts w:cs="Arial"/>
                <w:lang w:val="en-US"/>
              </w:rPr>
              <w:t>(</w:t>
            </w:r>
            <w:r w:rsidRPr="006043CA">
              <w:rPr>
                <w:rFonts w:cs="Arial"/>
                <w:lang w:val="mk-MK"/>
              </w:rPr>
              <w:t>според документот)</w:t>
            </w:r>
          </w:p>
          <w:p w14:paraId="0E75191F" w14:textId="77777777" w:rsidR="00470167" w:rsidRPr="00B92975" w:rsidRDefault="00470167" w:rsidP="00470167">
            <w:pPr>
              <w:ind w:left="360"/>
              <w:rPr>
                <w:rFonts w:cs="Arial"/>
                <w:lang w:val="mk-MK"/>
              </w:rPr>
            </w:pPr>
            <w:r w:rsidRPr="006043CA">
              <w:rPr>
                <w:rFonts w:cs="Arial"/>
                <w:lang w:val="mk-MK"/>
              </w:rPr>
              <w:t>Белешка 38 Посебна резерва и резервирања, стр.1</w:t>
            </w:r>
            <w:r w:rsidRPr="006043CA">
              <w:rPr>
                <w:rFonts w:cs="Arial"/>
                <w:lang w:val="en-US"/>
              </w:rPr>
              <w:t>3</w:t>
            </w:r>
            <w:r w:rsidRPr="006043CA">
              <w:rPr>
                <w:rFonts w:cs="Arial"/>
                <w:lang w:val="mk-MK"/>
              </w:rPr>
              <w:t>8</w:t>
            </w:r>
          </w:p>
          <w:p w14:paraId="3D5185A4" w14:textId="77777777" w:rsidR="00470167" w:rsidRPr="00B92975" w:rsidRDefault="00470167" w:rsidP="00470167">
            <w:pPr>
              <w:ind w:left="360"/>
              <w:rPr>
                <w:rFonts w:cs="Arial"/>
                <w:lang w:val="ru-RU"/>
              </w:rPr>
            </w:pPr>
          </w:p>
          <w:p w14:paraId="7B80B413" w14:textId="77777777" w:rsidR="00470167" w:rsidRPr="00B92975" w:rsidRDefault="00470167" w:rsidP="00470167">
            <w:pPr>
              <w:ind w:left="360"/>
              <w:rPr>
                <w:rFonts w:cs="Arial"/>
                <w:lang w:val="ru-RU"/>
              </w:rPr>
            </w:pPr>
          </w:p>
          <w:p w14:paraId="13893265" w14:textId="77777777" w:rsidR="00470167" w:rsidRPr="00B92975" w:rsidRDefault="00470167" w:rsidP="00470167">
            <w:pPr>
              <w:ind w:left="360"/>
              <w:rPr>
                <w:rFonts w:cs="Arial"/>
                <w:lang w:val="ru-RU"/>
              </w:rPr>
            </w:pPr>
          </w:p>
          <w:p w14:paraId="115EF8FA" w14:textId="77777777" w:rsidR="00470167" w:rsidRPr="00B92975" w:rsidRDefault="00470167" w:rsidP="00470167">
            <w:pPr>
              <w:ind w:left="360"/>
              <w:rPr>
                <w:rFonts w:cs="Arial"/>
                <w:lang w:val="en-US"/>
              </w:rPr>
            </w:pPr>
          </w:p>
          <w:p w14:paraId="03824FB6" w14:textId="77777777" w:rsidR="00470167" w:rsidRPr="00B92975" w:rsidRDefault="00470167" w:rsidP="00470167">
            <w:pPr>
              <w:ind w:left="360"/>
              <w:rPr>
                <w:rFonts w:cs="Arial"/>
                <w:lang w:val="en-US"/>
              </w:rPr>
            </w:pPr>
          </w:p>
          <w:p w14:paraId="3938B822" w14:textId="77777777" w:rsidR="00470167" w:rsidRPr="00B92975" w:rsidRDefault="00470167" w:rsidP="00470167">
            <w:pPr>
              <w:ind w:left="360"/>
              <w:rPr>
                <w:rFonts w:cs="Arial"/>
                <w:lang w:val="en-US"/>
              </w:rPr>
            </w:pPr>
          </w:p>
          <w:p w14:paraId="4FFCC0F9" w14:textId="77777777" w:rsidR="00470167" w:rsidRPr="00B92975" w:rsidRDefault="00470167" w:rsidP="00470167">
            <w:pPr>
              <w:ind w:left="360"/>
              <w:rPr>
                <w:rFonts w:cs="Arial"/>
                <w:lang w:val="ru-RU"/>
              </w:rPr>
            </w:pPr>
          </w:p>
          <w:p w14:paraId="2E83FB62" w14:textId="77777777" w:rsidR="00470167" w:rsidRPr="00B92975" w:rsidRDefault="00470167" w:rsidP="00470167">
            <w:pPr>
              <w:ind w:left="360"/>
              <w:rPr>
                <w:rFonts w:cs="Arial"/>
                <w:lang w:val="ru-RU"/>
              </w:rPr>
            </w:pPr>
          </w:p>
          <w:p w14:paraId="184F99CC" w14:textId="77777777" w:rsidR="00470167" w:rsidRPr="00B92975" w:rsidRDefault="00470167" w:rsidP="00470167">
            <w:pPr>
              <w:ind w:left="360"/>
              <w:rPr>
                <w:rFonts w:cs="Arial"/>
                <w:lang w:val="ru-RU"/>
              </w:rPr>
            </w:pPr>
          </w:p>
          <w:p w14:paraId="40CBED9E" w14:textId="77777777" w:rsidR="00470167" w:rsidRPr="00B92975" w:rsidRDefault="00470167" w:rsidP="00470167">
            <w:pPr>
              <w:ind w:left="360"/>
              <w:rPr>
                <w:rFonts w:cs="Arial"/>
                <w:lang w:val="ru-RU"/>
              </w:rPr>
            </w:pPr>
          </w:p>
          <w:p w14:paraId="6A679D50" w14:textId="77777777" w:rsidR="00470167" w:rsidRPr="00B92975" w:rsidRDefault="00470167" w:rsidP="00470167">
            <w:pPr>
              <w:ind w:left="360"/>
              <w:rPr>
                <w:rFonts w:cs="Arial"/>
                <w:lang w:val="ru-RU"/>
              </w:rPr>
            </w:pPr>
          </w:p>
          <w:p w14:paraId="240AFAE1" w14:textId="77777777" w:rsidR="00470167" w:rsidRPr="00B92975" w:rsidRDefault="00470167" w:rsidP="00470167">
            <w:pPr>
              <w:ind w:left="360"/>
              <w:rPr>
                <w:rFonts w:cs="Arial"/>
                <w:lang w:val="ru-RU"/>
              </w:rPr>
            </w:pPr>
          </w:p>
          <w:p w14:paraId="54474408" w14:textId="77777777" w:rsidR="00470167" w:rsidRPr="00B92975" w:rsidRDefault="00470167" w:rsidP="00470167">
            <w:pPr>
              <w:ind w:left="360"/>
              <w:rPr>
                <w:rFonts w:cs="Arial"/>
                <w:lang w:val="ru-RU"/>
              </w:rPr>
            </w:pPr>
          </w:p>
          <w:p w14:paraId="4D09CCE2" w14:textId="77777777" w:rsidR="00470167" w:rsidRPr="00B92975" w:rsidRDefault="00470167" w:rsidP="00470167">
            <w:pPr>
              <w:ind w:left="360"/>
              <w:rPr>
                <w:rFonts w:cs="Arial"/>
                <w:lang w:val="ru-RU"/>
              </w:rPr>
            </w:pPr>
          </w:p>
          <w:p w14:paraId="0C05DC1C" w14:textId="77777777" w:rsidR="00470167" w:rsidRPr="00B92975" w:rsidRDefault="00470167" w:rsidP="00470167">
            <w:pPr>
              <w:ind w:left="360"/>
              <w:rPr>
                <w:rFonts w:cs="Arial"/>
                <w:lang w:val="ru-RU"/>
              </w:rPr>
            </w:pPr>
          </w:p>
          <w:p w14:paraId="57D9E820" w14:textId="77777777" w:rsidR="00470167" w:rsidRPr="00B92975" w:rsidRDefault="00470167" w:rsidP="00470167">
            <w:pPr>
              <w:ind w:left="360"/>
              <w:rPr>
                <w:rFonts w:cs="Arial"/>
                <w:lang w:val="ru-RU"/>
              </w:rPr>
            </w:pPr>
          </w:p>
          <w:p w14:paraId="5DAAF82D" w14:textId="77777777" w:rsidR="00470167" w:rsidRPr="00B92975" w:rsidRDefault="00470167" w:rsidP="00470167">
            <w:pPr>
              <w:rPr>
                <w:rFonts w:cs="Arial"/>
                <w:lang w:val="ru-RU"/>
              </w:rPr>
            </w:pPr>
          </w:p>
        </w:tc>
      </w:tr>
      <w:tr w:rsidR="00470167" w:rsidRPr="0085597D" w14:paraId="58BEA3EC" w14:textId="77777777" w:rsidTr="000B7C52">
        <w:trPr>
          <w:trHeight w:val="513"/>
        </w:trPr>
        <w:tc>
          <w:tcPr>
            <w:tcW w:w="10359" w:type="dxa"/>
            <w:gridSpan w:val="4"/>
            <w:shd w:val="clear" w:color="auto" w:fill="92D050"/>
            <w:vAlign w:val="center"/>
          </w:tcPr>
          <w:p w14:paraId="2A7800AD" w14:textId="77777777" w:rsidR="00470167" w:rsidRPr="0085597D" w:rsidRDefault="00470167" w:rsidP="00470167">
            <w:pPr>
              <w:rPr>
                <w:rFonts w:cs="Arial"/>
                <w:b/>
                <w:bCs/>
                <w:lang w:val="mk-MK"/>
              </w:rPr>
            </w:pPr>
            <w:r w:rsidRPr="0085597D">
              <w:rPr>
                <w:rFonts w:cs="Arial"/>
                <w:b/>
                <w:bCs/>
                <w:lang w:val="mk-MK"/>
              </w:rPr>
              <w:lastRenderedPageBreak/>
              <w:t>4.</w:t>
            </w:r>
            <w:r w:rsidRPr="0085597D">
              <w:rPr>
                <w:rFonts w:cs="Arial"/>
                <w:b/>
                <w:bCs/>
                <w:lang w:val="ru-RU"/>
              </w:rPr>
              <w:t>3</w:t>
            </w:r>
            <w:r w:rsidRPr="0085597D">
              <w:rPr>
                <w:rFonts w:cs="Arial"/>
                <w:b/>
                <w:bCs/>
                <w:lang w:val="mk-MK"/>
              </w:rPr>
              <w:t>. Податоци за ризик кој произлегува од капиталните вложувања (стекнување капитални делови) на Банката, кои не се дел од портфолиото за тргување</w:t>
            </w:r>
          </w:p>
        </w:tc>
      </w:tr>
      <w:tr w:rsidR="00470167" w:rsidRPr="0085597D" w14:paraId="3F41D126" w14:textId="77777777" w:rsidTr="000B7C52">
        <w:tblPrEx>
          <w:tblLook w:val="0000" w:firstRow="0" w:lastRow="0" w:firstColumn="0" w:lastColumn="0" w:noHBand="0" w:noVBand="0"/>
        </w:tblPrEx>
        <w:trPr>
          <w:trHeight w:val="70"/>
        </w:trPr>
        <w:tc>
          <w:tcPr>
            <w:tcW w:w="1585" w:type="dxa"/>
            <w:tcBorders>
              <w:top w:val="single" w:sz="4" w:space="0" w:color="auto"/>
              <w:left w:val="single" w:sz="4" w:space="0" w:color="auto"/>
              <w:bottom w:val="single" w:sz="4" w:space="0" w:color="auto"/>
              <w:right w:val="single" w:sz="4" w:space="0" w:color="auto"/>
            </w:tcBorders>
            <w:vAlign w:val="center"/>
          </w:tcPr>
          <w:p w14:paraId="24A3729F" w14:textId="2BC375E6" w:rsidR="00470167" w:rsidRPr="00F65527" w:rsidRDefault="00470167" w:rsidP="00470167">
            <w:pPr>
              <w:rPr>
                <w:rFonts w:cs="Arial"/>
                <w:b/>
                <w:lang w:val="en-US"/>
              </w:rPr>
            </w:pPr>
            <w:r w:rsidRPr="0085597D">
              <w:rPr>
                <w:rFonts w:cs="Arial"/>
                <w:b/>
                <w:lang w:val="mk-MK"/>
              </w:rPr>
              <w:t xml:space="preserve">Краток опис на политиката на Банката за сметководствено вреднување на капиталните вложувања со состојба на </w:t>
            </w:r>
            <w:r w:rsidRPr="00B92975">
              <w:rPr>
                <w:rFonts w:cs="Arial"/>
                <w:b/>
                <w:lang w:val="mk-MK"/>
              </w:rPr>
              <w:t>3</w:t>
            </w:r>
            <w:r w:rsidRPr="00B92975">
              <w:rPr>
                <w:rFonts w:cs="Arial"/>
                <w:b/>
                <w:lang w:val="ru-RU"/>
              </w:rPr>
              <w:t>1</w:t>
            </w:r>
            <w:r w:rsidRPr="00B92975">
              <w:rPr>
                <w:rFonts w:cs="Arial"/>
                <w:b/>
                <w:lang w:val="mk-MK"/>
              </w:rPr>
              <w:t>.</w:t>
            </w:r>
            <w:r w:rsidRPr="00B92975">
              <w:rPr>
                <w:rFonts w:cs="Arial"/>
                <w:b/>
                <w:lang w:val="ru-RU"/>
              </w:rPr>
              <w:t>12</w:t>
            </w:r>
            <w:r w:rsidRPr="00B92975">
              <w:rPr>
                <w:rFonts w:cs="Arial"/>
                <w:b/>
                <w:lang w:val="mk-MK"/>
              </w:rPr>
              <w:t>.20</w:t>
            </w:r>
            <w:r w:rsidRPr="00B92975">
              <w:rPr>
                <w:rFonts w:cs="Arial"/>
                <w:b/>
                <w:lang w:val="en-US"/>
              </w:rPr>
              <w:t>23</w:t>
            </w:r>
          </w:p>
        </w:tc>
        <w:tc>
          <w:tcPr>
            <w:tcW w:w="8774" w:type="dxa"/>
            <w:gridSpan w:val="3"/>
            <w:tcBorders>
              <w:top w:val="single" w:sz="4" w:space="0" w:color="auto"/>
              <w:left w:val="single" w:sz="4" w:space="0" w:color="auto"/>
              <w:bottom w:val="single" w:sz="4" w:space="0" w:color="auto"/>
              <w:right w:val="single" w:sz="4" w:space="0" w:color="auto"/>
            </w:tcBorders>
            <w:vAlign w:val="center"/>
          </w:tcPr>
          <w:p w14:paraId="2D710818" w14:textId="77777777" w:rsidR="00470167" w:rsidRPr="00A656CC" w:rsidRDefault="00470167" w:rsidP="00470167">
            <w:pPr>
              <w:pStyle w:val="BodyText2"/>
              <w:jc w:val="left"/>
              <w:rPr>
                <w:rFonts w:ascii="Arial" w:hAnsi="Arial" w:cs="Arial"/>
                <w:iCs/>
                <w:sz w:val="20"/>
                <w:szCs w:val="20"/>
              </w:rPr>
            </w:pPr>
            <w:r w:rsidRPr="00A656CC">
              <w:rPr>
                <w:rFonts w:ascii="Arial" w:hAnsi="Arial" w:cs="Arial"/>
                <w:iCs/>
                <w:sz w:val="20"/>
                <w:szCs w:val="20"/>
                <w:lang w:val="mk-MK"/>
              </w:rPr>
              <w:t>Сметководствената политика за Вложувања во сопственички инструменти расположливи за продажба</w:t>
            </w:r>
          </w:p>
          <w:p w14:paraId="64503B63" w14:textId="77777777" w:rsidR="00470167" w:rsidRPr="00A656CC" w:rsidRDefault="00470167" w:rsidP="00470167">
            <w:pPr>
              <w:pStyle w:val="BodyText2"/>
              <w:jc w:val="left"/>
              <w:rPr>
                <w:rFonts w:ascii="Arial" w:hAnsi="Arial" w:cs="Arial"/>
                <w:iCs/>
                <w:sz w:val="20"/>
                <w:szCs w:val="20"/>
              </w:rPr>
            </w:pPr>
          </w:p>
          <w:p w14:paraId="539E911B" w14:textId="77777777" w:rsidR="00470167" w:rsidRDefault="00470167" w:rsidP="00470167">
            <w:pPr>
              <w:autoSpaceDE w:val="0"/>
              <w:autoSpaceDN w:val="0"/>
              <w:adjustRightInd w:val="0"/>
              <w:rPr>
                <w:rFonts w:cs="Arial"/>
                <w:color w:val="FF0000"/>
                <w:lang w:val="en-US"/>
              </w:rPr>
            </w:pPr>
          </w:p>
          <w:p w14:paraId="05319007" w14:textId="6B14216D" w:rsidR="00470167" w:rsidRDefault="00000000" w:rsidP="00470167">
            <w:pPr>
              <w:autoSpaceDE w:val="0"/>
              <w:autoSpaceDN w:val="0"/>
              <w:adjustRightInd w:val="0"/>
            </w:pPr>
            <w:hyperlink r:id="rId25" w:history="1">
              <w:r w:rsidR="00B92975" w:rsidRPr="001C2116">
                <w:rPr>
                  <w:rStyle w:val="Hyperlink"/>
                </w:rPr>
                <w: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w:t>
              </w:r>
            </w:hyperlink>
          </w:p>
          <w:p w14:paraId="03BF5C2C" w14:textId="77777777" w:rsidR="00B92975" w:rsidRPr="00A656CC" w:rsidRDefault="00B92975" w:rsidP="00470167">
            <w:pPr>
              <w:autoSpaceDE w:val="0"/>
              <w:autoSpaceDN w:val="0"/>
              <w:adjustRightInd w:val="0"/>
              <w:rPr>
                <w:rFonts w:cs="Arial"/>
                <w:color w:val="FF0000"/>
                <w:lang w:val="en-US"/>
              </w:rPr>
            </w:pPr>
          </w:p>
          <w:p w14:paraId="596F2080" w14:textId="77777777" w:rsidR="00470167" w:rsidRPr="00A656CC" w:rsidRDefault="00470167" w:rsidP="00470167">
            <w:pPr>
              <w:autoSpaceDE w:val="0"/>
              <w:autoSpaceDN w:val="0"/>
              <w:adjustRightInd w:val="0"/>
              <w:rPr>
                <w:rFonts w:cs="Arial"/>
                <w:color w:val="FF0000"/>
                <w:lang w:val="mk-MK"/>
              </w:rPr>
            </w:pPr>
          </w:p>
          <w:p w14:paraId="173EC50A" w14:textId="77777777" w:rsidR="00470167" w:rsidRPr="00A656CC" w:rsidRDefault="00470167" w:rsidP="00470167">
            <w:pPr>
              <w:autoSpaceDE w:val="0"/>
              <w:autoSpaceDN w:val="0"/>
              <w:adjustRightInd w:val="0"/>
              <w:rPr>
                <w:rFonts w:cs="Arial"/>
                <w:lang w:val="en-US"/>
              </w:rPr>
            </w:pPr>
            <w:r w:rsidRPr="00A656CC">
              <w:rPr>
                <w:rFonts w:cs="Arial"/>
                <w:lang w:val="mk-MK"/>
              </w:rPr>
              <w:t>Белешка 1.</w:t>
            </w:r>
            <w:r>
              <w:rPr>
                <w:rFonts w:cs="Arial"/>
                <w:lang w:val="mk-MK"/>
              </w:rPr>
              <w:t>8</w:t>
            </w:r>
            <w:r w:rsidRPr="00A656CC">
              <w:rPr>
                <w:rFonts w:cs="Arial"/>
                <w:lang w:val="mk-MK"/>
              </w:rPr>
              <w:t xml:space="preserve"> Вложувања во сопственички инструменти расположливи за продажба, стр. 3</w:t>
            </w:r>
            <w:r>
              <w:rPr>
                <w:rFonts w:cs="Arial"/>
                <w:lang w:val="mk-MK"/>
              </w:rPr>
              <w:t>2</w:t>
            </w:r>
          </w:p>
          <w:p w14:paraId="5E19D1BE" w14:textId="77777777" w:rsidR="00470167" w:rsidRPr="00A656CC" w:rsidRDefault="00470167" w:rsidP="00470167">
            <w:pPr>
              <w:rPr>
                <w:rFonts w:cs="Arial"/>
                <w:b/>
                <w:i/>
                <w:lang w:val="mk-MK"/>
              </w:rPr>
            </w:pPr>
          </w:p>
          <w:p w14:paraId="1F90604F" w14:textId="77777777" w:rsidR="00470167" w:rsidRPr="00A656CC" w:rsidRDefault="00470167" w:rsidP="00470167">
            <w:pPr>
              <w:rPr>
                <w:rFonts w:cs="Arial"/>
                <w:b/>
                <w:i/>
                <w:lang w:val="en-US"/>
              </w:rPr>
            </w:pPr>
          </w:p>
          <w:p w14:paraId="1662ACD1" w14:textId="77777777" w:rsidR="00470167" w:rsidRPr="00A656CC" w:rsidRDefault="00470167" w:rsidP="00470167">
            <w:pPr>
              <w:rPr>
                <w:rFonts w:cs="Arial"/>
                <w:b/>
                <w:i/>
                <w:lang w:val="mk-MK"/>
              </w:rPr>
            </w:pPr>
          </w:p>
          <w:p w14:paraId="628C8033" w14:textId="77777777" w:rsidR="00470167" w:rsidRPr="00A656CC" w:rsidRDefault="00470167" w:rsidP="00470167">
            <w:pPr>
              <w:rPr>
                <w:rFonts w:cs="Arial"/>
                <w:b/>
                <w:i/>
                <w:lang w:val="en-US"/>
              </w:rPr>
            </w:pPr>
          </w:p>
          <w:p w14:paraId="431F2029" w14:textId="77777777" w:rsidR="00470167" w:rsidRPr="00A656CC" w:rsidRDefault="00470167" w:rsidP="00470167">
            <w:pPr>
              <w:rPr>
                <w:rFonts w:cs="Arial"/>
                <w:b/>
                <w:i/>
                <w:lang w:val="mk-MK"/>
              </w:rPr>
            </w:pPr>
            <w:r w:rsidRPr="00A656CC">
              <w:rPr>
                <w:rFonts w:cs="Arial"/>
                <w:b/>
                <w:i/>
                <w:lang w:val="mk-MK"/>
              </w:rPr>
              <w:t>Признавање</w:t>
            </w:r>
          </w:p>
          <w:p w14:paraId="1C21937F" w14:textId="77777777" w:rsidR="00470167" w:rsidRPr="00A656CC" w:rsidRDefault="00470167" w:rsidP="00470167">
            <w:pPr>
              <w:rPr>
                <w:rFonts w:cs="Arial"/>
                <w:b/>
                <w:i/>
                <w:lang w:val="mk-MK"/>
              </w:rPr>
            </w:pPr>
          </w:p>
          <w:p w14:paraId="4F24375E" w14:textId="77777777" w:rsidR="00470167" w:rsidRPr="00A656CC" w:rsidRDefault="00470167" w:rsidP="00470167">
            <w:pPr>
              <w:rPr>
                <w:rFonts w:cs="Arial"/>
                <w:lang w:val="mk-MK"/>
              </w:rPr>
            </w:pPr>
            <w:r w:rsidRPr="00A656CC">
              <w:rPr>
                <w:rFonts w:cs="Arial"/>
                <w:lang w:val="mk-MK"/>
              </w:rPr>
              <w:t>Банката сопственичките хартии од вредност ги признава како средства во билансот на состојба на датумот на тргување.</w:t>
            </w:r>
          </w:p>
          <w:p w14:paraId="3B6CEEE2" w14:textId="77777777" w:rsidR="00470167" w:rsidRPr="00A656CC" w:rsidRDefault="00470167" w:rsidP="00470167">
            <w:pPr>
              <w:rPr>
                <w:rFonts w:cs="Arial"/>
                <w:lang w:val="mk-MK"/>
              </w:rPr>
            </w:pPr>
            <w:r w:rsidRPr="00A656CC">
              <w:rPr>
                <w:rFonts w:cs="Arial"/>
                <w:lang w:val="mk-MK"/>
              </w:rPr>
              <w:t>Одбраната метода за признавање треба да се применува конзистентно за сите набавки и продажби коишто припаѓаат на иста категорија на сопственички хартии од вредност.</w:t>
            </w:r>
          </w:p>
          <w:p w14:paraId="5D1536DB" w14:textId="77777777" w:rsidR="00470167" w:rsidRPr="00A656CC" w:rsidRDefault="00470167" w:rsidP="00470167">
            <w:pPr>
              <w:rPr>
                <w:rFonts w:cs="Arial"/>
                <w:lang w:val="mk-MK"/>
              </w:rPr>
            </w:pPr>
          </w:p>
          <w:p w14:paraId="11E658D6" w14:textId="77777777" w:rsidR="00470167" w:rsidRPr="00A656CC" w:rsidRDefault="00470167" w:rsidP="00470167">
            <w:pPr>
              <w:rPr>
                <w:rFonts w:cs="Arial"/>
                <w:b/>
                <w:i/>
                <w:lang w:val="mk-MK"/>
              </w:rPr>
            </w:pPr>
            <w:r w:rsidRPr="00A656CC">
              <w:rPr>
                <w:rFonts w:cs="Arial"/>
                <w:b/>
                <w:i/>
                <w:lang w:val="mk-MK"/>
              </w:rPr>
              <w:t>Вреднување</w:t>
            </w:r>
          </w:p>
          <w:p w14:paraId="4CEAC516" w14:textId="77777777" w:rsidR="00470167" w:rsidRPr="00A656CC" w:rsidRDefault="00470167" w:rsidP="00470167">
            <w:pPr>
              <w:rPr>
                <w:rFonts w:cs="Arial"/>
                <w:b/>
                <w:i/>
                <w:lang w:val="mk-MK"/>
              </w:rPr>
            </w:pPr>
          </w:p>
          <w:p w14:paraId="6597B16F" w14:textId="77777777" w:rsidR="00470167" w:rsidRPr="00A656CC" w:rsidRDefault="00470167" w:rsidP="00470167">
            <w:pPr>
              <w:rPr>
                <w:rFonts w:cs="Arial"/>
                <w:lang w:val="mk-MK"/>
              </w:rPr>
            </w:pPr>
            <w:r w:rsidRPr="00A656CC">
              <w:rPr>
                <w:rFonts w:cs="Arial"/>
                <w:lang w:val="mk-MK"/>
              </w:rPr>
              <w:t>Почетното мерење на вложувањата во сопственички хартии од вредност се врши според нивната набавна вредност (трошоците на вложувањето). Трансакциските трошоци се вклучуваат во почетното мерење на вложувањата.</w:t>
            </w:r>
          </w:p>
          <w:p w14:paraId="077EE45E" w14:textId="77777777" w:rsidR="00470167" w:rsidRPr="00A656CC" w:rsidRDefault="00470167" w:rsidP="00470167">
            <w:pPr>
              <w:rPr>
                <w:rFonts w:cs="Arial"/>
                <w:b/>
                <w:i/>
                <w:lang w:val="mk-MK"/>
              </w:rPr>
            </w:pPr>
          </w:p>
          <w:p w14:paraId="2A0B92FC" w14:textId="77777777" w:rsidR="00470167" w:rsidRPr="00A656CC" w:rsidRDefault="00470167" w:rsidP="00470167">
            <w:pPr>
              <w:rPr>
                <w:rFonts w:cs="Arial"/>
                <w:b/>
                <w:i/>
                <w:lang w:val="mk-MK"/>
              </w:rPr>
            </w:pPr>
            <w:r w:rsidRPr="00A656CC">
              <w:rPr>
                <w:rFonts w:cs="Arial"/>
                <w:b/>
                <w:i/>
                <w:lang w:val="mk-MK"/>
              </w:rPr>
              <w:t>Последователно мерење</w:t>
            </w:r>
          </w:p>
          <w:p w14:paraId="1912A72A" w14:textId="77777777" w:rsidR="00470167" w:rsidRPr="00A656CC" w:rsidRDefault="00470167" w:rsidP="00470167">
            <w:pPr>
              <w:rPr>
                <w:rFonts w:cs="Arial"/>
                <w:b/>
                <w:i/>
                <w:lang w:val="mk-MK"/>
              </w:rPr>
            </w:pPr>
          </w:p>
          <w:p w14:paraId="7BA3B305" w14:textId="77777777" w:rsidR="00470167" w:rsidRPr="00A656CC" w:rsidRDefault="00470167" w:rsidP="00470167">
            <w:pPr>
              <w:rPr>
                <w:rFonts w:cs="Arial"/>
                <w:b/>
                <w:i/>
                <w:lang w:val="en-US"/>
              </w:rPr>
            </w:pPr>
            <w:r w:rsidRPr="00A656CC">
              <w:rPr>
                <w:rFonts w:cs="Arial"/>
                <w:b/>
                <w:i/>
                <w:lang w:val="mk-MK"/>
              </w:rPr>
              <w:t xml:space="preserve">              • кај вложувања помалку од 20%</w:t>
            </w:r>
          </w:p>
          <w:p w14:paraId="5217D2EE" w14:textId="77777777" w:rsidR="00470167" w:rsidRPr="00A656CC" w:rsidRDefault="00470167" w:rsidP="00470167">
            <w:pPr>
              <w:rPr>
                <w:rFonts w:cs="Arial"/>
                <w:b/>
                <w:i/>
                <w:lang w:val="en-US"/>
              </w:rPr>
            </w:pPr>
          </w:p>
          <w:p w14:paraId="7703E812" w14:textId="77777777" w:rsidR="00470167" w:rsidRPr="00A656CC" w:rsidRDefault="00470167" w:rsidP="00470167">
            <w:pPr>
              <w:autoSpaceDE w:val="0"/>
              <w:autoSpaceDN w:val="0"/>
              <w:adjustRightInd w:val="0"/>
              <w:rPr>
                <w:rFonts w:cs="Arial"/>
                <w:lang w:val="mk-MK"/>
              </w:rPr>
            </w:pPr>
            <w:r w:rsidRPr="00A656CC">
              <w:rPr>
                <w:rFonts w:cs="Arial"/>
                <w:lang w:val="mk-MK"/>
              </w:rPr>
              <w:t>Сметководствениот</w:t>
            </w:r>
            <w:r w:rsidRPr="00A656CC">
              <w:rPr>
                <w:rFonts w:cs="Arial"/>
                <w:lang w:val="ru-RU"/>
              </w:rPr>
              <w:t xml:space="preserve"> </w:t>
            </w:r>
            <w:r w:rsidRPr="00A656CC">
              <w:rPr>
                <w:rFonts w:cs="Arial"/>
                <w:lang w:val="mk-MK"/>
              </w:rPr>
              <w:t>третман</w:t>
            </w:r>
            <w:r w:rsidRPr="00A656CC">
              <w:rPr>
                <w:rFonts w:cs="Arial"/>
                <w:lang w:val="ru-RU"/>
              </w:rPr>
              <w:t xml:space="preserve"> </w:t>
            </w:r>
            <w:r w:rsidRPr="00A656CC">
              <w:rPr>
                <w:rFonts w:cs="Arial"/>
                <w:lang w:val="mk-MK"/>
              </w:rPr>
              <w:t>на</w:t>
            </w:r>
            <w:r w:rsidRPr="00A656CC">
              <w:rPr>
                <w:rFonts w:cs="Arial"/>
                <w:lang w:val="ru-RU"/>
              </w:rPr>
              <w:t xml:space="preserve"> </w:t>
            </w:r>
            <w:r w:rsidRPr="00A656CC">
              <w:rPr>
                <w:rFonts w:cs="Arial"/>
                <w:lang w:val="mk-MK"/>
              </w:rPr>
              <w:t>вложувањето</w:t>
            </w:r>
            <w:r w:rsidRPr="00A656CC">
              <w:rPr>
                <w:rFonts w:cs="Arial"/>
                <w:lang w:val="ru-RU"/>
              </w:rPr>
              <w:t xml:space="preserve"> </w:t>
            </w:r>
            <w:r w:rsidRPr="00A656CC">
              <w:rPr>
                <w:rFonts w:cs="Arial"/>
                <w:lang w:val="mk-MK"/>
              </w:rPr>
              <w:t>кое</w:t>
            </w:r>
            <w:r w:rsidRPr="00A656CC">
              <w:rPr>
                <w:rFonts w:cs="Arial"/>
                <w:lang w:val="ru-RU"/>
              </w:rPr>
              <w:t xml:space="preserve"> </w:t>
            </w:r>
            <w:r w:rsidRPr="00A656CC">
              <w:rPr>
                <w:rFonts w:cs="Arial"/>
                <w:lang w:val="mk-MK"/>
              </w:rPr>
              <w:t>овозможува</w:t>
            </w:r>
            <w:r w:rsidRPr="00A656CC">
              <w:rPr>
                <w:rFonts w:cs="Arial"/>
                <w:lang w:val="ru-RU"/>
              </w:rPr>
              <w:t xml:space="preserve"> </w:t>
            </w:r>
            <w:r w:rsidRPr="00A656CC">
              <w:rPr>
                <w:rFonts w:cs="Arial"/>
                <w:lang w:val="mk-MK"/>
              </w:rPr>
              <w:t>помалку</w:t>
            </w:r>
            <w:r w:rsidRPr="00A656CC">
              <w:rPr>
                <w:rFonts w:cs="Arial"/>
                <w:b/>
                <w:bCs/>
                <w:lang w:val="ru-RU"/>
              </w:rPr>
              <w:t xml:space="preserve"> </w:t>
            </w:r>
            <w:r w:rsidRPr="00A656CC">
              <w:rPr>
                <w:rFonts w:cs="Arial"/>
                <w:lang w:val="mk-MK"/>
              </w:rPr>
              <w:t>од</w:t>
            </w:r>
            <w:r w:rsidRPr="00A656CC">
              <w:rPr>
                <w:rFonts w:cs="Arial"/>
                <w:lang w:val="ru-RU"/>
              </w:rPr>
              <w:t xml:space="preserve"> </w:t>
            </w:r>
            <w:r w:rsidRPr="00A656CC">
              <w:rPr>
                <w:rFonts w:cs="Arial"/>
                <w:lang w:val="mk-MK"/>
              </w:rPr>
              <w:t>20%</w:t>
            </w:r>
            <w:r w:rsidRPr="00A656CC">
              <w:rPr>
                <w:rFonts w:cs="Arial"/>
                <w:lang w:val="ru-RU"/>
              </w:rPr>
              <w:t xml:space="preserve"> </w:t>
            </w:r>
            <w:r w:rsidRPr="00A656CC">
              <w:rPr>
                <w:rFonts w:cs="Arial"/>
                <w:lang w:val="mk-MK"/>
              </w:rPr>
              <w:t>од</w:t>
            </w:r>
            <w:r w:rsidRPr="00A656CC">
              <w:rPr>
                <w:rFonts w:cs="Arial"/>
                <w:lang w:val="ru-RU"/>
              </w:rPr>
              <w:t xml:space="preserve"> </w:t>
            </w:r>
            <w:r w:rsidRPr="00A656CC">
              <w:rPr>
                <w:rFonts w:cs="Arial"/>
                <w:lang w:val="mk-MK"/>
              </w:rPr>
              <w:t>управувачката</w:t>
            </w:r>
            <w:r w:rsidRPr="00A656CC">
              <w:rPr>
                <w:rFonts w:cs="Arial"/>
                <w:lang w:val="ru-RU"/>
              </w:rPr>
              <w:t xml:space="preserve"> </w:t>
            </w:r>
            <w:r w:rsidRPr="00A656CC">
              <w:rPr>
                <w:rFonts w:cs="Arial"/>
                <w:lang w:val="mk-MK"/>
              </w:rPr>
              <w:t>моќ</w:t>
            </w:r>
            <w:r w:rsidRPr="00A656CC">
              <w:rPr>
                <w:rFonts w:cs="Arial"/>
                <w:lang w:val="ru-RU"/>
              </w:rPr>
              <w:t xml:space="preserve"> </w:t>
            </w:r>
            <w:r w:rsidRPr="00A656CC">
              <w:rPr>
                <w:rFonts w:cs="Arial"/>
                <w:lang w:val="mk-MK"/>
              </w:rPr>
              <w:t>на</w:t>
            </w:r>
            <w:r w:rsidRPr="00A656CC">
              <w:rPr>
                <w:rFonts w:cs="Arial"/>
                <w:lang w:val="ru-RU"/>
              </w:rPr>
              <w:t xml:space="preserve"> </w:t>
            </w:r>
            <w:r w:rsidRPr="00A656CC">
              <w:rPr>
                <w:rFonts w:cs="Arial"/>
                <w:lang w:val="mk-MK"/>
              </w:rPr>
              <w:t>претпријатието</w:t>
            </w:r>
            <w:r w:rsidRPr="00A656CC">
              <w:rPr>
                <w:rFonts w:cs="Arial"/>
                <w:lang w:val="ru-RU"/>
              </w:rPr>
              <w:t xml:space="preserve"> </w:t>
            </w:r>
            <w:r w:rsidRPr="00A656CC">
              <w:rPr>
                <w:rFonts w:cs="Arial"/>
                <w:lang w:val="mk-MK"/>
              </w:rPr>
              <w:t>каде</w:t>
            </w:r>
            <w:r w:rsidRPr="00A656CC">
              <w:rPr>
                <w:rFonts w:cs="Arial"/>
                <w:lang w:val="ru-RU"/>
              </w:rPr>
              <w:t xml:space="preserve"> </w:t>
            </w:r>
            <w:r w:rsidRPr="00A656CC">
              <w:rPr>
                <w:rFonts w:cs="Arial"/>
                <w:lang w:val="mk-MK"/>
              </w:rPr>
              <w:t>е</w:t>
            </w:r>
            <w:r w:rsidRPr="00A656CC">
              <w:rPr>
                <w:rFonts w:cs="Arial"/>
                <w:lang w:val="ru-RU"/>
              </w:rPr>
              <w:t xml:space="preserve"> </w:t>
            </w:r>
            <w:r w:rsidRPr="00A656CC">
              <w:rPr>
                <w:rFonts w:cs="Arial"/>
                <w:lang w:val="mk-MK"/>
              </w:rPr>
              <w:t>вложено</w:t>
            </w:r>
            <w:r w:rsidRPr="00A656CC">
              <w:rPr>
                <w:rFonts w:cs="Arial"/>
                <w:lang w:val="ru-RU"/>
              </w:rPr>
              <w:t xml:space="preserve"> </w:t>
            </w:r>
            <w:r w:rsidRPr="00A656CC">
              <w:rPr>
                <w:rFonts w:cs="Arial"/>
                <w:lang w:val="mk-MK"/>
              </w:rPr>
              <w:t>е</w:t>
            </w:r>
            <w:r w:rsidRPr="00A656CC">
              <w:rPr>
                <w:rFonts w:cs="Arial"/>
                <w:lang w:val="ru-RU"/>
              </w:rPr>
              <w:t xml:space="preserve"> </w:t>
            </w:r>
            <w:r w:rsidRPr="00A656CC">
              <w:rPr>
                <w:rFonts w:cs="Arial"/>
                <w:lang w:val="mk-MK"/>
              </w:rPr>
              <w:t>според</w:t>
            </w:r>
            <w:r w:rsidRPr="00A656CC">
              <w:rPr>
                <w:rFonts w:cs="Arial"/>
                <w:lang w:val="ru-RU"/>
              </w:rPr>
              <w:t xml:space="preserve"> </w:t>
            </w:r>
            <w:r w:rsidRPr="00A656CC">
              <w:rPr>
                <w:rFonts w:cs="Arial"/>
                <w:lang w:val="mk-MK"/>
              </w:rPr>
              <w:t>објективна</w:t>
            </w:r>
            <w:r w:rsidRPr="00A656CC">
              <w:rPr>
                <w:rFonts w:cs="Arial"/>
                <w:lang w:val="ru-RU"/>
              </w:rPr>
              <w:t xml:space="preserve"> </w:t>
            </w:r>
            <w:r w:rsidRPr="00A656CC">
              <w:rPr>
                <w:rFonts w:cs="Arial"/>
                <w:lang w:val="mk-MK"/>
              </w:rPr>
              <w:t>вредност</w:t>
            </w:r>
            <w:r w:rsidRPr="00A656CC">
              <w:rPr>
                <w:rFonts w:cs="Arial"/>
                <w:lang w:val="ru-RU"/>
              </w:rPr>
              <w:t xml:space="preserve"> </w:t>
            </w:r>
            <w:r w:rsidRPr="00A656CC">
              <w:rPr>
                <w:rFonts w:cs="Arial"/>
                <w:lang w:val="mk-MK"/>
              </w:rPr>
              <w:t>и</w:t>
            </w:r>
            <w:r w:rsidRPr="00A656CC">
              <w:rPr>
                <w:rFonts w:cs="Arial"/>
                <w:lang w:val="ru-RU"/>
              </w:rPr>
              <w:t xml:space="preserve"> </w:t>
            </w:r>
            <w:r w:rsidRPr="00A656CC">
              <w:rPr>
                <w:rFonts w:cs="Arial"/>
                <w:lang w:val="mk-MK"/>
              </w:rPr>
              <w:t>се</w:t>
            </w:r>
            <w:r w:rsidRPr="00A656CC">
              <w:rPr>
                <w:rFonts w:cs="Arial"/>
                <w:lang w:val="ru-RU"/>
              </w:rPr>
              <w:t xml:space="preserve"> </w:t>
            </w:r>
            <w:r w:rsidRPr="00A656CC">
              <w:rPr>
                <w:rFonts w:cs="Arial"/>
                <w:lang w:val="mk-MK"/>
              </w:rPr>
              <w:lastRenderedPageBreak/>
              <w:t>применуваат</w:t>
            </w:r>
            <w:r w:rsidRPr="00A656CC">
              <w:rPr>
                <w:rFonts w:cs="Arial"/>
                <w:lang w:val="ru-RU"/>
              </w:rPr>
              <w:t xml:space="preserve"> </w:t>
            </w:r>
            <w:r w:rsidRPr="00A656CC">
              <w:rPr>
                <w:rFonts w:cs="Arial"/>
                <w:lang w:val="mk-MK"/>
              </w:rPr>
              <w:t>сите</w:t>
            </w:r>
            <w:r w:rsidRPr="00A656CC">
              <w:rPr>
                <w:rFonts w:cs="Arial"/>
                <w:lang w:val="ru-RU"/>
              </w:rPr>
              <w:t xml:space="preserve"> </w:t>
            </w:r>
            <w:r w:rsidRPr="00A656CC">
              <w:rPr>
                <w:rFonts w:cs="Arial"/>
                <w:lang w:val="mk-MK"/>
              </w:rPr>
              <w:t>политики</w:t>
            </w:r>
            <w:r w:rsidRPr="00A656CC">
              <w:rPr>
                <w:rFonts w:cs="Arial"/>
                <w:lang w:val="ru-RU"/>
              </w:rPr>
              <w:t xml:space="preserve"> </w:t>
            </w:r>
            <w:r w:rsidRPr="00A656CC">
              <w:rPr>
                <w:rFonts w:cs="Arial"/>
                <w:lang w:val="mk-MK"/>
              </w:rPr>
              <w:t>за</w:t>
            </w:r>
            <w:r w:rsidRPr="00A656CC">
              <w:rPr>
                <w:rFonts w:cs="Arial"/>
                <w:lang w:val="ru-RU"/>
              </w:rPr>
              <w:t xml:space="preserve"> </w:t>
            </w:r>
            <w:r w:rsidRPr="00A656CC">
              <w:rPr>
                <w:rFonts w:cs="Arial"/>
                <w:lang w:val="mk-MK"/>
              </w:rPr>
              <w:t>вложувања</w:t>
            </w:r>
            <w:r w:rsidRPr="00A656CC">
              <w:rPr>
                <w:rFonts w:cs="Arial"/>
                <w:lang w:val="ru-RU"/>
              </w:rPr>
              <w:t xml:space="preserve"> </w:t>
            </w:r>
            <w:r w:rsidRPr="00A656CC">
              <w:rPr>
                <w:rFonts w:cs="Arial"/>
                <w:lang w:val="mk-MK"/>
              </w:rPr>
              <w:t>според</w:t>
            </w:r>
            <w:r w:rsidRPr="00A656CC">
              <w:rPr>
                <w:rFonts w:cs="Arial"/>
                <w:lang w:val="ru-RU"/>
              </w:rPr>
              <w:t xml:space="preserve"> </w:t>
            </w:r>
            <w:r w:rsidRPr="00A656CC">
              <w:rPr>
                <w:rFonts w:cs="Arial"/>
                <w:lang w:val="mk-MK"/>
              </w:rPr>
              <w:t>Методологијата за евидентирање и вреднување на сметководствените ставки и за подготовка на финансиските извештаи на Народна Банка на Република Северна Македонија. Овие вложувања Банката ги класифицира во категорија финансиски средства расположливи за продажба. Сопственичките инструменти (без фиксно достасување) не смеат да бидат класифицирани како финансиски средства кои се чуваат до достасување. За вложувањата во сопственички инструменти на одредени специфични институции (како КИБС, SWIFT и сл.), за коишто нема активен пазар и чиешто поседување е утврдено со закон и/или е поврзано со можноста за користење на услугите коишто ги вршат овие институции, се смета дека нивната набавна вредност ја одразува нивната објективна вредност.</w:t>
            </w:r>
          </w:p>
          <w:p w14:paraId="6BEB0527" w14:textId="77777777" w:rsidR="00470167" w:rsidRPr="00A656CC" w:rsidRDefault="00470167" w:rsidP="00470167">
            <w:pPr>
              <w:pStyle w:val="BodyText2"/>
              <w:jc w:val="left"/>
              <w:rPr>
                <w:rFonts w:ascii="Arial" w:hAnsi="Arial" w:cs="Arial"/>
                <w:sz w:val="20"/>
                <w:szCs w:val="20"/>
                <w:lang w:val="mk-MK"/>
              </w:rPr>
            </w:pPr>
          </w:p>
          <w:p w14:paraId="3231AADF" w14:textId="77777777" w:rsidR="00470167" w:rsidRPr="00A656CC" w:rsidRDefault="00470167" w:rsidP="00470167">
            <w:pPr>
              <w:rPr>
                <w:rFonts w:cs="Arial"/>
                <w:b/>
                <w:i/>
                <w:lang w:val="en-US"/>
              </w:rPr>
            </w:pPr>
            <w:r w:rsidRPr="00A656CC">
              <w:rPr>
                <w:rFonts w:cs="Arial"/>
                <w:color w:val="000000"/>
                <w:lang w:val="mk-MK"/>
              </w:rPr>
              <w:t>Промената во објективната вредност на сопственичките хартии од вредност се евидентира на ревалоризациски резерви. При нивното депризнавање состојбата на сметката за ревалоризациони резерви Банката ќе ја прекнижи на сметките за задржана добивка/акумулирани загуби.</w:t>
            </w:r>
          </w:p>
          <w:p w14:paraId="3674F0AC" w14:textId="77777777" w:rsidR="00470167" w:rsidRPr="0085597D" w:rsidRDefault="00470167" w:rsidP="00470167">
            <w:pPr>
              <w:pStyle w:val="BodyText2"/>
              <w:jc w:val="left"/>
              <w:rPr>
                <w:rFonts w:ascii="Arial" w:hAnsi="Arial" w:cs="Arial"/>
                <w:iCs/>
                <w:sz w:val="20"/>
                <w:szCs w:val="20"/>
                <w:lang w:val="mk-MK"/>
              </w:rPr>
            </w:pPr>
          </w:p>
        </w:tc>
      </w:tr>
      <w:tr w:rsidR="00E00845" w:rsidRPr="0085597D" w14:paraId="4E8AB063" w14:textId="77777777" w:rsidTr="000B7C52">
        <w:tblPrEx>
          <w:tblLook w:val="0000" w:firstRow="0" w:lastRow="0" w:firstColumn="0" w:lastColumn="0" w:noHBand="0" w:noVBand="0"/>
        </w:tblPrEx>
        <w:trPr>
          <w:trHeight w:val="70"/>
        </w:trPr>
        <w:tc>
          <w:tcPr>
            <w:tcW w:w="1585" w:type="dxa"/>
            <w:tcBorders>
              <w:top w:val="single" w:sz="4" w:space="0" w:color="auto"/>
              <w:left w:val="single" w:sz="4" w:space="0" w:color="auto"/>
              <w:bottom w:val="single" w:sz="4" w:space="0" w:color="auto"/>
              <w:right w:val="single" w:sz="4" w:space="0" w:color="auto"/>
            </w:tcBorders>
            <w:vAlign w:val="center"/>
          </w:tcPr>
          <w:p w14:paraId="241BAE3E" w14:textId="77777777" w:rsidR="00E00845" w:rsidRPr="00525569" w:rsidRDefault="00E00845" w:rsidP="00E00845">
            <w:pPr>
              <w:pStyle w:val="TableParagraph"/>
              <w:spacing w:line="203" w:lineRule="exact"/>
              <w:ind w:left="103"/>
              <w:rPr>
                <w:rFonts w:ascii="Arial" w:eastAsia="Times New Roman" w:hAnsi="Arial" w:cs="Arial"/>
                <w:b/>
                <w:sz w:val="20"/>
                <w:szCs w:val="20"/>
                <w:lang w:val="mk-MK"/>
              </w:rPr>
            </w:pPr>
            <w:r w:rsidRPr="00525569">
              <w:rPr>
                <w:rFonts w:ascii="Arial" w:eastAsia="Times New Roman" w:hAnsi="Arial" w:cs="Arial"/>
                <w:b/>
                <w:sz w:val="20"/>
                <w:szCs w:val="20"/>
                <w:lang w:val="mk-MK"/>
              </w:rPr>
              <w:lastRenderedPageBreak/>
              <w:t>Износ на</w:t>
            </w:r>
          </w:p>
          <w:p w14:paraId="6141F1D6" w14:textId="3E131208" w:rsidR="00E00845" w:rsidRPr="00525569" w:rsidRDefault="00E00845" w:rsidP="00E00845">
            <w:pPr>
              <w:rPr>
                <w:rFonts w:cs="Arial"/>
                <w:b/>
                <w:lang w:val="en-US"/>
              </w:rPr>
            </w:pPr>
            <w:r w:rsidRPr="00525569">
              <w:rPr>
                <w:rFonts w:cs="Arial"/>
                <w:b/>
                <w:lang w:val="mk-MK"/>
              </w:rPr>
              <w:t>капиталните вложувања и нивната класификација според видот, т.е. според тоа дали се работи за вложувања во сопственички хартии од вредност за кои постои активен пазар или за вложувања во сопственички хартии од вредност за кои не постои активен пазар со состојба на 31.12.20</w:t>
            </w:r>
            <w:r w:rsidRPr="00525569">
              <w:rPr>
                <w:rFonts w:cs="Arial"/>
                <w:b/>
                <w:lang w:val="en-US"/>
              </w:rPr>
              <w:t>23</w:t>
            </w:r>
          </w:p>
        </w:tc>
        <w:tc>
          <w:tcPr>
            <w:tcW w:w="8774" w:type="dxa"/>
            <w:gridSpan w:val="3"/>
            <w:tcBorders>
              <w:top w:val="single" w:sz="4" w:space="0" w:color="auto"/>
              <w:left w:val="single" w:sz="4" w:space="0" w:color="auto"/>
              <w:bottom w:val="single" w:sz="4" w:space="0" w:color="auto"/>
              <w:right w:val="single" w:sz="4" w:space="0" w:color="auto"/>
            </w:tcBorders>
            <w:vAlign w:val="center"/>
          </w:tcPr>
          <w:p w14:paraId="39E79774" w14:textId="77777777" w:rsidR="00E00845" w:rsidRPr="00525569" w:rsidRDefault="00E00845" w:rsidP="00E00845">
            <w:pPr>
              <w:rPr>
                <w:rFonts w:cs="Arial"/>
                <w:lang w:val="mk-MK"/>
              </w:rPr>
            </w:pPr>
          </w:p>
          <w:p w14:paraId="04AA0886" w14:textId="77777777" w:rsidR="00E00845" w:rsidRPr="00525569" w:rsidRDefault="00E00845" w:rsidP="00E00845">
            <w:pPr>
              <w:rPr>
                <w:rFonts w:cs="Arial"/>
                <w:lang w:val="mk-MK"/>
              </w:rPr>
            </w:pPr>
          </w:p>
          <w:p w14:paraId="0BD6EAA4" w14:textId="77777777" w:rsidR="00E00845" w:rsidRPr="00525569" w:rsidRDefault="00E00845" w:rsidP="00E00845">
            <w:pPr>
              <w:rPr>
                <w:rFonts w:cs="Arial"/>
                <w:lang w:val="mk-MK"/>
              </w:rPr>
            </w:pPr>
          </w:p>
          <w:p w14:paraId="0711BF15" w14:textId="77777777" w:rsidR="00E00845" w:rsidRPr="00525569" w:rsidRDefault="00E00845" w:rsidP="00E00845">
            <w:pPr>
              <w:rPr>
                <w:rFonts w:cs="Arial"/>
              </w:rPr>
            </w:pPr>
            <w:r w:rsidRPr="00525569">
              <w:rPr>
                <w:rFonts w:cs="Arial"/>
              </w:rPr>
              <w:t xml:space="preserve">Состојбата на капитални вложувања за кои </w:t>
            </w:r>
            <w:r w:rsidRPr="00525569">
              <w:rPr>
                <w:rFonts w:cs="Arial"/>
                <w:lang w:val="mk-MK"/>
              </w:rPr>
              <w:t xml:space="preserve">не </w:t>
            </w:r>
            <w:r w:rsidRPr="00525569">
              <w:rPr>
                <w:rFonts w:cs="Arial"/>
              </w:rPr>
              <w:t>постои активен пазар се состои од влогови кај следните правни лица:</w:t>
            </w:r>
          </w:p>
          <w:p w14:paraId="4EDC409A" w14:textId="77777777" w:rsidR="00E00845" w:rsidRPr="00525569" w:rsidRDefault="00E00845" w:rsidP="00E00845">
            <w:pPr>
              <w:numPr>
                <w:ilvl w:val="0"/>
                <w:numId w:val="31"/>
              </w:numPr>
              <w:rPr>
                <w:rFonts w:cs="Arial"/>
              </w:rPr>
            </w:pPr>
            <w:r w:rsidRPr="00525569">
              <w:rPr>
                <w:rFonts w:cs="Arial"/>
              </w:rPr>
              <w:t xml:space="preserve">Клириншка Куќа - Клириншки Интербанкарски системи АД Скопје  – 32.145.000,00 МКД </w:t>
            </w:r>
          </w:p>
          <w:p w14:paraId="72A721B8" w14:textId="77777777" w:rsidR="00E00845" w:rsidRPr="00525569" w:rsidRDefault="00E00845" w:rsidP="00E00845">
            <w:pPr>
              <w:numPr>
                <w:ilvl w:val="0"/>
                <w:numId w:val="31"/>
              </w:numPr>
              <w:rPr>
                <w:rFonts w:cs="Arial"/>
              </w:rPr>
            </w:pPr>
            <w:r w:rsidRPr="00525569">
              <w:rPr>
                <w:rFonts w:cs="Arial"/>
              </w:rPr>
              <w:t>Централен депозитар за хартии од вредност АД Скопје – 4.878.0</w:t>
            </w:r>
            <w:r w:rsidRPr="00525569">
              <w:rPr>
                <w:rFonts w:cs="Arial"/>
                <w:lang w:val="ru-RU"/>
              </w:rPr>
              <w:t>00</w:t>
            </w:r>
            <w:r w:rsidRPr="00525569">
              <w:rPr>
                <w:rFonts w:cs="Arial"/>
              </w:rPr>
              <w:t>,</w:t>
            </w:r>
            <w:r w:rsidRPr="00525569">
              <w:rPr>
                <w:rFonts w:cs="Arial"/>
                <w:lang w:val="ru-RU"/>
              </w:rPr>
              <w:t>00</w:t>
            </w:r>
            <w:r w:rsidRPr="00525569">
              <w:rPr>
                <w:rFonts w:cs="Arial"/>
              </w:rPr>
              <w:t xml:space="preserve"> МКД </w:t>
            </w:r>
          </w:p>
          <w:p w14:paraId="10C57E84" w14:textId="77777777" w:rsidR="00E00845" w:rsidRPr="00525569" w:rsidRDefault="00E00845" w:rsidP="00E00845">
            <w:pPr>
              <w:pStyle w:val="ListParagraph"/>
              <w:numPr>
                <w:ilvl w:val="0"/>
                <w:numId w:val="31"/>
              </w:numPr>
              <w:rPr>
                <w:rFonts w:cs="Arial"/>
                <w:iCs/>
                <w:lang w:val="mk-MK"/>
              </w:rPr>
            </w:pPr>
            <w:r w:rsidRPr="00525569">
              <w:rPr>
                <w:rFonts w:cs="Arial"/>
                <w:lang w:val="mk-MK"/>
              </w:rPr>
              <w:t xml:space="preserve">Македонска берза на хартии од вредност АД Скопје – </w:t>
            </w:r>
            <w:r w:rsidRPr="00525569">
              <w:rPr>
                <w:rFonts w:cs="Arial"/>
              </w:rPr>
              <w:t>10</w:t>
            </w:r>
            <w:r w:rsidRPr="00525569">
              <w:rPr>
                <w:rFonts w:cs="Arial"/>
                <w:lang w:val="mk-MK"/>
              </w:rPr>
              <w:t>.</w:t>
            </w:r>
            <w:r w:rsidRPr="00525569">
              <w:rPr>
                <w:rFonts w:cs="Arial"/>
                <w:lang w:val="en-US"/>
              </w:rPr>
              <w:t>772</w:t>
            </w:r>
            <w:r w:rsidRPr="00525569">
              <w:rPr>
                <w:rFonts w:cs="Arial"/>
                <w:lang w:val="mk-MK"/>
              </w:rPr>
              <w:t>.</w:t>
            </w:r>
            <w:r w:rsidRPr="00525569">
              <w:rPr>
                <w:rFonts w:cs="Arial"/>
                <w:lang w:val="en-US"/>
              </w:rPr>
              <w:t>9</w:t>
            </w:r>
            <w:r w:rsidRPr="00525569">
              <w:rPr>
                <w:rFonts w:cs="Arial"/>
                <w:lang w:val="mk-MK"/>
              </w:rPr>
              <w:t>00,00 МКД</w:t>
            </w:r>
          </w:p>
          <w:p w14:paraId="03934C5F" w14:textId="77777777" w:rsidR="00E00845" w:rsidRPr="00525569" w:rsidRDefault="00E00845" w:rsidP="00E00845">
            <w:pPr>
              <w:numPr>
                <w:ilvl w:val="0"/>
                <w:numId w:val="31"/>
              </w:numPr>
              <w:rPr>
                <w:rFonts w:cs="Arial"/>
              </w:rPr>
            </w:pPr>
            <w:r w:rsidRPr="00525569">
              <w:rPr>
                <w:rFonts w:cs="Arial"/>
              </w:rPr>
              <w:t>S.W.I.F.T. – 2.863.207,00 МКД</w:t>
            </w:r>
          </w:p>
          <w:p w14:paraId="44E597C0" w14:textId="77777777" w:rsidR="00E00845" w:rsidRPr="00525569" w:rsidRDefault="00E00845" w:rsidP="00E00845">
            <w:pPr>
              <w:numPr>
                <w:ilvl w:val="0"/>
                <w:numId w:val="31"/>
              </w:numPr>
              <w:rPr>
                <w:rFonts w:cs="Arial"/>
              </w:rPr>
            </w:pPr>
            <w:r w:rsidRPr="00525569">
              <w:rPr>
                <w:rFonts w:eastAsia="Arial" w:cs="Arial"/>
                <w:spacing w:val="-2"/>
              </w:rPr>
              <w:t xml:space="preserve">VISA INC. – </w:t>
            </w:r>
            <w:r w:rsidRPr="00525569">
              <w:rPr>
                <w:rFonts w:eastAsia="Arial" w:cs="Arial"/>
                <w:spacing w:val="-2"/>
                <w:lang w:val="en-US"/>
              </w:rPr>
              <w:t>92</w:t>
            </w:r>
            <w:r w:rsidRPr="00525569">
              <w:rPr>
                <w:rFonts w:eastAsia="Arial" w:cs="Arial"/>
                <w:spacing w:val="-2"/>
              </w:rPr>
              <w:t>.323.233,00 МКД</w:t>
            </w:r>
            <w:r w:rsidRPr="00525569">
              <w:rPr>
                <w:rFonts w:cs="Arial"/>
              </w:rPr>
              <w:t xml:space="preserve"> </w:t>
            </w:r>
          </w:p>
          <w:p w14:paraId="6B4198AA" w14:textId="77777777" w:rsidR="00E00845" w:rsidRPr="00525569" w:rsidRDefault="00E00845" w:rsidP="00E00845">
            <w:pPr>
              <w:ind w:left="540"/>
              <w:rPr>
                <w:rFonts w:cs="Arial"/>
                <w:iCs/>
                <w:lang w:val="mk-MK"/>
              </w:rPr>
            </w:pPr>
          </w:p>
        </w:tc>
      </w:tr>
      <w:tr w:rsidR="00E00845" w:rsidRPr="0085597D" w14:paraId="3FDF08C0" w14:textId="77777777" w:rsidTr="000B7C52">
        <w:tblPrEx>
          <w:tblLook w:val="0000" w:firstRow="0" w:lastRow="0" w:firstColumn="0" w:lastColumn="0" w:noHBand="0" w:noVBand="0"/>
        </w:tblPrEx>
        <w:trPr>
          <w:trHeight w:val="70"/>
        </w:trPr>
        <w:tc>
          <w:tcPr>
            <w:tcW w:w="1585" w:type="dxa"/>
            <w:tcBorders>
              <w:top w:val="single" w:sz="4" w:space="0" w:color="auto"/>
              <w:left w:val="single" w:sz="4" w:space="0" w:color="auto"/>
              <w:bottom w:val="single" w:sz="4" w:space="0" w:color="auto"/>
              <w:right w:val="single" w:sz="4" w:space="0" w:color="auto"/>
            </w:tcBorders>
            <w:vAlign w:val="center"/>
          </w:tcPr>
          <w:p w14:paraId="399D9EE8" w14:textId="7CA058B0" w:rsidR="00E00845" w:rsidRPr="00B92975" w:rsidRDefault="00E00845" w:rsidP="00E00845">
            <w:pPr>
              <w:rPr>
                <w:rFonts w:cs="Arial"/>
                <w:b/>
                <w:lang w:val="en-US"/>
              </w:rPr>
            </w:pPr>
            <w:r w:rsidRPr="00B92975">
              <w:rPr>
                <w:rFonts w:cs="Arial"/>
                <w:b/>
                <w:lang w:val="mk-MK"/>
              </w:rPr>
              <w:t xml:space="preserve">Секторска структура на капиталните вложувања (капитални вложувања во банки, други финансиски институции, нефинансиски институции, нерезиденти) </w:t>
            </w:r>
            <w:r w:rsidRPr="00B92975">
              <w:rPr>
                <w:rFonts w:cs="Arial"/>
                <w:b/>
                <w:lang w:val="mk-MK"/>
              </w:rPr>
              <w:lastRenderedPageBreak/>
              <w:t xml:space="preserve">со состојба на </w:t>
            </w:r>
            <w:r w:rsidRPr="00B92975">
              <w:rPr>
                <w:rFonts w:cs="Arial"/>
                <w:b/>
                <w:lang w:val="en-US"/>
              </w:rPr>
              <w:t>31.12</w:t>
            </w:r>
            <w:r w:rsidRPr="00B92975">
              <w:rPr>
                <w:rFonts w:cs="Arial"/>
                <w:b/>
                <w:lang w:val="mk-MK"/>
              </w:rPr>
              <w:t>.20</w:t>
            </w:r>
            <w:r w:rsidRPr="00B92975">
              <w:rPr>
                <w:rFonts w:cs="Arial"/>
                <w:b/>
                <w:lang w:val="en-US"/>
              </w:rPr>
              <w:t>23</w:t>
            </w:r>
          </w:p>
        </w:tc>
        <w:tc>
          <w:tcPr>
            <w:tcW w:w="8774" w:type="dxa"/>
            <w:gridSpan w:val="3"/>
            <w:tcBorders>
              <w:top w:val="single" w:sz="4" w:space="0" w:color="auto"/>
              <w:left w:val="single" w:sz="4" w:space="0" w:color="auto"/>
              <w:bottom w:val="single" w:sz="4" w:space="0" w:color="auto"/>
              <w:right w:val="single" w:sz="4" w:space="0" w:color="auto"/>
            </w:tcBorders>
            <w:vAlign w:val="center"/>
          </w:tcPr>
          <w:p w14:paraId="79A00601" w14:textId="77777777" w:rsidR="00E00845" w:rsidRPr="006043CA" w:rsidRDefault="00E00845" w:rsidP="00E00845">
            <w:pPr>
              <w:rPr>
                <w:rFonts w:cs="Arial"/>
                <w:iCs/>
                <w:lang w:val="mk-MK"/>
              </w:rPr>
            </w:pPr>
            <w:r w:rsidRPr="006043CA">
              <w:rPr>
                <w:rFonts w:cs="Arial"/>
                <w:iCs/>
                <w:lang w:val="mk-MK"/>
              </w:rPr>
              <w:lastRenderedPageBreak/>
              <w:t>Капитални вложувања во други финансиски институции:</w:t>
            </w:r>
          </w:p>
          <w:p w14:paraId="0B135ED6" w14:textId="77777777" w:rsidR="00E00845" w:rsidRPr="006043CA" w:rsidRDefault="00E00845" w:rsidP="00E00845">
            <w:pPr>
              <w:numPr>
                <w:ilvl w:val="0"/>
                <w:numId w:val="25"/>
              </w:numPr>
              <w:rPr>
                <w:rFonts w:cs="Arial"/>
                <w:iCs/>
                <w:lang w:val="mk-MK"/>
              </w:rPr>
            </w:pPr>
            <w:r w:rsidRPr="006043CA">
              <w:rPr>
                <w:rFonts w:cs="Arial"/>
                <w:iCs/>
                <w:lang w:val="mk-MK"/>
              </w:rPr>
              <w:t>Клириншка Куќа - Клириншки Интербанкарски системи АД - Скопје</w:t>
            </w:r>
          </w:p>
          <w:p w14:paraId="0129DEA2" w14:textId="77777777" w:rsidR="00E00845" w:rsidRPr="006043CA" w:rsidRDefault="00E00845" w:rsidP="00E00845">
            <w:pPr>
              <w:numPr>
                <w:ilvl w:val="0"/>
                <w:numId w:val="25"/>
              </w:numPr>
              <w:rPr>
                <w:rFonts w:cs="Arial"/>
                <w:iCs/>
                <w:lang w:val="mk-MK"/>
              </w:rPr>
            </w:pPr>
            <w:r w:rsidRPr="006043CA">
              <w:rPr>
                <w:rFonts w:cs="Arial"/>
                <w:iCs/>
                <w:lang w:val="mk-MK"/>
              </w:rPr>
              <w:t>Централен депозитар за хартии од вредност АД - Скопје</w:t>
            </w:r>
          </w:p>
          <w:p w14:paraId="3E4EAABE" w14:textId="77777777" w:rsidR="00E00845" w:rsidRPr="006043CA" w:rsidRDefault="00E00845" w:rsidP="00E00845">
            <w:pPr>
              <w:numPr>
                <w:ilvl w:val="0"/>
                <w:numId w:val="25"/>
              </w:numPr>
              <w:rPr>
                <w:rFonts w:cs="Arial"/>
                <w:iCs/>
                <w:lang w:val="mk-MK"/>
              </w:rPr>
            </w:pPr>
            <w:r w:rsidRPr="006043CA">
              <w:rPr>
                <w:rFonts w:cs="Arial"/>
                <w:lang w:val="mk-MK"/>
              </w:rPr>
              <w:t>Македонска берза на хартии од вредност АД - Скопје</w:t>
            </w:r>
          </w:p>
          <w:p w14:paraId="6AF91636" w14:textId="77777777" w:rsidR="00E00845" w:rsidRPr="006043CA" w:rsidRDefault="00E00845" w:rsidP="00E00845">
            <w:pPr>
              <w:rPr>
                <w:rFonts w:cs="Arial"/>
                <w:iCs/>
                <w:lang w:val="en-US"/>
              </w:rPr>
            </w:pPr>
          </w:p>
          <w:p w14:paraId="70D5FD17" w14:textId="77777777" w:rsidR="00E00845" w:rsidRPr="006043CA" w:rsidRDefault="00E00845" w:rsidP="00E00845">
            <w:pPr>
              <w:rPr>
                <w:rFonts w:cs="Arial"/>
                <w:iCs/>
                <w:lang w:val="mk-MK"/>
              </w:rPr>
            </w:pPr>
            <w:r w:rsidRPr="006043CA">
              <w:rPr>
                <w:rFonts w:cs="Arial"/>
                <w:iCs/>
                <w:lang w:val="mk-MK"/>
              </w:rPr>
              <w:t>Капитални вложувања во нерезиденти:</w:t>
            </w:r>
          </w:p>
          <w:p w14:paraId="5C5B55B6" w14:textId="77777777" w:rsidR="00E00845" w:rsidRPr="006043CA" w:rsidRDefault="00E00845" w:rsidP="00E00845">
            <w:pPr>
              <w:numPr>
                <w:ilvl w:val="0"/>
                <w:numId w:val="27"/>
              </w:numPr>
              <w:rPr>
                <w:rFonts w:cs="Arial"/>
                <w:iCs/>
                <w:lang w:val="mk-MK"/>
              </w:rPr>
            </w:pPr>
            <w:r w:rsidRPr="006043CA">
              <w:rPr>
                <w:rFonts w:cs="Arial"/>
                <w:iCs/>
                <w:lang w:val="mk-MK"/>
              </w:rPr>
              <w:t>S.W.I.F.T.</w:t>
            </w:r>
          </w:p>
          <w:p w14:paraId="36F418C9" w14:textId="77777777" w:rsidR="00E00845" w:rsidRPr="006043CA" w:rsidRDefault="00E00845" w:rsidP="00E00845">
            <w:pPr>
              <w:numPr>
                <w:ilvl w:val="0"/>
                <w:numId w:val="27"/>
              </w:numPr>
              <w:rPr>
                <w:rFonts w:cs="Arial"/>
                <w:iCs/>
                <w:lang w:val="mk-MK"/>
              </w:rPr>
            </w:pPr>
            <w:r w:rsidRPr="006043CA">
              <w:rPr>
                <w:rFonts w:eastAsia="Arial" w:cs="Arial"/>
                <w:spacing w:val="-1"/>
              </w:rPr>
              <w:t>VISA INC</w:t>
            </w:r>
          </w:p>
          <w:p w14:paraId="3BAB90CE" w14:textId="77777777" w:rsidR="00E00845" w:rsidRPr="006043CA" w:rsidRDefault="00E00845" w:rsidP="00E00845">
            <w:pPr>
              <w:ind w:left="540"/>
              <w:rPr>
                <w:rFonts w:cs="Arial"/>
                <w:iCs/>
                <w:lang w:val="mk-MK"/>
              </w:rPr>
            </w:pPr>
          </w:p>
        </w:tc>
      </w:tr>
      <w:tr w:rsidR="00E00845" w:rsidRPr="0085597D" w14:paraId="64352BF1" w14:textId="77777777" w:rsidTr="000B7C52">
        <w:tblPrEx>
          <w:tblLook w:val="0000" w:firstRow="0" w:lastRow="0" w:firstColumn="0" w:lastColumn="0" w:noHBand="0" w:noVBand="0"/>
        </w:tblPrEx>
        <w:trPr>
          <w:trHeight w:val="70"/>
        </w:trPr>
        <w:tc>
          <w:tcPr>
            <w:tcW w:w="1585" w:type="dxa"/>
            <w:tcBorders>
              <w:top w:val="single" w:sz="4" w:space="0" w:color="auto"/>
              <w:left w:val="single" w:sz="4" w:space="0" w:color="auto"/>
              <w:bottom w:val="single" w:sz="4" w:space="0" w:color="auto"/>
              <w:right w:val="single" w:sz="4" w:space="0" w:color="auto"/>
            </w:tcBorders>
            <w:vAlign w:val="center"/>
          </w:tcPr>
          <w:p w14:paraId="6A5F8663" w14:textId="49D5A6B6" w:rsidR="00E00845" w:rsidRPr="00B92975" w:rsidRDefault="00E00845" w:rsidP="00E00845">
            <w:pPr>
              <w:rPr>
                <w:rFonts w:cs="Arial"/>
                <w:b/>
                <w:lang w:val="en-US"/>
              </w:rPr>
            </w:pPr>
            <w:r w:rsidRPr="00B92975">
              <w:rPr>
                <w:rFonts w:cs="Arial"/>
                <w:b/>
                <w:lang w:val="mk-MK"/>
              </w:rPr>
              <w:t xml:space="preserve">Кумулативен износ на реализирани добивки (загуби) кои произлегуваат од отуѓувањето на вложувањата со состојба на </w:t>
            </w:r>
            <w:r w:rsidRPr="00B92975">
              <w:rPr>
                <w:rFonts w:cs="Arial"/>
                <w:b/>
                <w:lang w:val="en-US"/>
              </w:rPr>
              <w:t>31.12</w:t>
            </w:r>
            <w:r w:rsidRPr="00B92975">
              <w:rPr>
                <w:rFonts w:cs="Arial"/>
                <w:b/>
                <w:lang w:val="mk-MK"/>
              </w:rPr>
              <w:t>.20</w:t>
            </w:r>
            <w:r w:rsidRPr="00B92975">
              <w:rPr>
                <w:rFonts w:cs="Arial"/>
                <w:b/>
                <w:lang w:val="en-US"/>
              </w:rPr>
              <w:t>23</w:t>
            </w:r>
          </w:p>
          <w:p w14:paraId="6DB37F98" w14:textId="77777777" w:rsidR="00E00845" w:rsidRPr="00B92975" w:rsidRDefault="00E00845" w:rsidP="00E00845">
            <w:pPr>
              <w:rPr>
                <w:rFonts w:cs="Arial"/>
                <w:b/>
                <w:lang w:val="mk-MK"/>
              </w:rPr>
            </w:pPr>
          </w:p>
        </w:tc>
        <w:tc>
          <w:tcPr>
            <w:tcW w:w="8774" w:type="dxa"/>
            <w:gridSpan w:val="3"/>
            <w:tcBorders>
              <w:top w:val="single" w:sz="4" w:space="0" w:color="auto"/>
              <w:left w:val="single" w:sz="4" w:space="0" w:color="auto"/>
              <w:bottom w:val="single" w:sz="4" w:space="0" w:color="auto"/>
              <w:right w:val="single" w:sz="4" w:space="0" w:color="auto"/>
            </w:tcBorders>
            <w:vAlign w:val="center"/>
          </w:tcPr>
          <w:p w14:paraId="1A32DF2F" w14:textId="77777777" w:rsidR="00E00845" w:rsidRPr="006043CA" w:rsidRDefault="00E00845" w:rsidP="00E00845">
            <w:pPr>
              <w:rPr>
                <w:rFonts w:cs="Arial"/>
                <w:iCs/>
                <w:lang w:val="en-US"/>
              </w:rPr>
            </w:pPr>
            <w:r w:rsidRPr="006043CA">
              <w:rPr>
                <w:rFonts w:cs="Arial"/>
                <w:iCs/>
                <w:lang w:val="en-US"/>
              </w:rPr>
              <w:t xml:space="preserve">0,00 </w:t>
            </w:r>
            <w:r w:rsidRPr="006043CA">
              <w:rPr>
                <w:rFonts w:cs="Arial"/>
                <w:iCs/>
                <w:lang w:val="mk-MK"/>
              </w:rPr>
              <w:t>МКД</w:t>
            </w:r>
          </w:p>
          <w:p w14:paraId="2CA8D662" w14:textId="77777777" w:rsidR="00E00845" w:rsidRPr="006043CA" w:rsidRDefault="00E00845" w:rsidP="00E00845">
            <w:pPr>
              <w:rPr>
                <w:rFonts w:cs="Arial"/>
                <w:iCs/>
                <w:lang w:val="en-US"/>
              </w:rPr>
            </w:pPr>
          </w:p>
        </w:tc>
      </w:tr>
      <w:tr w:rsidR="00E00845" w:rsidRPr="001945CB" w14:paraId="5EC3EE64" w14:textId="77777777" w:rsidTr="000B7C52">
        <w:tblPrEx>
          <w:tblLook w:val="0000" w:firstRow="0" w:lastRow="0" w:firstColumn="0" w:lastColumn="0" w:noHBand="0" w:noVBand="0"/>
        </w:tblPrEx>
        <w:trPr>
          <w:trHeight w:val="70"/>
        </w:trPr>
        <w:tc>
          <w:tcPr>
            <w:tcW w:w="1585" w:type="dxa"/>
            <w:tcBorders>
              <w:top w:val="single" w:sz="4" w:space="0" w:color="auto"/>
              <w:left w:val="single" w:sz="4" w:space="0" w:color="auto"/>
              <w:bottom w:val="single" w:sz="4" w:space="0" w:color="auto"/>
              <w:right w:val="single" w:sz="4" w:space="0" w:color="auto"/>
            </w:tcBorders>
            <w:vAlign w:val="center"/>
          </w:tcPr>
          <w:p w14:paraId="66E39B2F" w14:textId="22E0F390" w:rsidR="00E00845" w:rsidRPr="00B92975" w:rsidRDefault="00E00845" w:rsidP="00E00845">
            <w:pPr>
              <w:rPr>
                <w:rFonts w:cs="Arial"/>
                <w:b/>
                <w:lang w:val="en-US"/>
              </w:rPr>
            </w:pPr>
            <w:r w:rsidRPr="00B92975">
              <w:rPr>
                <w:rFonts w:cs="Arial"/>
                <w:b/>
                <w:lang w:val="mk-MK"/>
              </w:rPr>
              <w:t xml:space="preserve">Вкупен износ на нереализарни добивки (загуби) од капиталните вложувања со состојба на </w:t>
            </w:r>
            <w:r w:rsidRPr="00B92975">
              <w:rPr>
                <w:rFonts w:cs="Arial"/>
                <w:b/>
                <w:lang w:val="en-US"/>
              </w:rPr>
              <w:t>31.12</w:t>
            </w:r>
            <w:r w:rsidRPr="00B92975">
              <w:rPr>
                <w:rFonts w:cs="Arial"/>
                <w:b/>
                <w:lang w:val="mk-MK"/>
              </w:rPr>
              <w:t>.20</w:t>
            </w:r>
            <w:r w:rsidRPr="00B92975">
              <w:rPr>
                <w:rFonts w:cs="Arial"/>
                <w:b/>
                <w:lang w:val="en-US"/>
              </w:rPr>
              <w:t>23</w:t>
            </w:r>
          </w:p>
        </w:tc>
        <w:tc>
          <w:tcPr>
            <w:tcW w:w="8774" w:type="dxa"/>
            <w:gridSpan w:val="3"/>
            <w:tcBorders>
              <w:top w:val="single" w:sz="4" w:space="0" w:color="auto"/>
              <w:left w:val="single" w:sz="4" w:space="0" w:color="auto"/>
              <w:bottom w:val="single" w:sz="4" w:space="0" w:color="auto"/>
              <w:right w:val="single" w:sz="4" w:space="0" w:color="auto"/>
            </w:tcBorders>
            <w:vAlign w:val="center"/>
          </w:tcPr>
          <w:p w14:paraId="44C543B9" w14:textId="415CD40A" w:rsidR="00E00845" w:rsidRPr="006043CA" w:rsidRDefault="00E00845" w:rsidP="00E00845">
            <w:pPr>
              <w:rPr>
                <w:rFonts w:cs="Arial"/>
                <w:iCs/>
                <w:lang w:val="ru-RU"/>
              </w:rPr>
            </w:pPr>
            <w:r w:rsidRPr="006043CA">
              <w:rPr>
                <w:rFonts w:cs="Arial"/>
                <w:iCs/>
                <w:lang w:val="en-US"/>
              </w:rPr>
              <w:t>108.228</w:t>
            </w:r>
            <w:r w:rsidRPr="006043CA">
              <w:rPr>
                <w:rFonts w:cs="Arial"/>
                <w:iCs/>
                <w:lang w:val="mk-MK"/>
              </w:rPr>
              <w:t xml:space="preserve"> илјади МКД</w:t>
            </w:r>
          </w:p>
        </w:tc>
      </w:tr>
    </w:tbl>
    <w:p w14:paraId="1D9D5888" w14:textId="77777777" w:rsidR="003C37CF" w:rsidRPr="001945CB" w:rsidRDefault="003C37CF" w:rsidP="00AD3D91">
      <w:pPr>
        <w:rPr>
          <w:rFonts w:cs="Arial"/>
          <w:lang w:val="en-US"/>
        </w:rPr>
      </w:pPr>
    </w:p>
    <w:sectPr w:rsidR="003C37CF" w:rsidRPr="001945CB" w:rsidSect="0015327A">
      <w:headerReference w:type="default" r:id="rId26"/>
      <w:footerReference w:type="default" r:id="rId27"/>
      <w:type w:val="continuous"/>
      <w:pgSz w:w="11907" w:h="16840" w:code="9"/>
      <w:pgMar w:top="1508" w:right="947" w:bottom="1418" w:left="993" w:header="437" w:footer="437" w:gutter="0"/>
      <w:paperSrc w:first="1" w:other="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3452" w14:textId="77777777" w:rsidR="004E4626" w:rsidRDefault="004E4626">
      <w:r>
        <w:separator/>
      </w:r>
    </w:p>
  </w:endnote>
  <w:endnote w:type="continuationSeparator" w:id="0">
    <w:p w14:paraId="0C8E4011" w14:textId="77777777" w:rsidR="004E4626" w:rsidRDefault="004E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Times">
    <w:charset w:val="00"/>
    <w:family w:val="roman"/>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9F6" w14:textId="77777777" w:rsidR="00B8237B" w:rsidRDefault="00B8237B">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7C0D7AB" w14:textId="77777777" w:rsidR="00B8237B" w:rsidRDefault="00B8237B">
    <w:pPr>
      <w:tabs>
        <w:tab w:val="left" w:pos="4287"/>
      </w:tabs>
      <w:rPr>
        <w:sz w:val="18"/>
        <w:szCs w:val="18"/>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0894" w14:textId="77777777" w:rsidR="004E4626" w:rsidRDefault="004E4626">
      <w:r>
        <w:separator/>
      </w:r>
    </w:p>
  </w:footnote>
  <w:footnote w:type="continuationSeparator" w:id="0">
    <w:p w14:paraId="3BBB3864" w14:textId="77777777" w:rsidR="004E4626" w:rsidRDefault="004E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4D3E" w14:textId="77777777" w:rsidR="00B8237B" w:rsidRDefault="00B8237B">
    <w:pPr>
      <w:pStyle w:val="Header"/>
      <w:tabs>
        <w:tab w:val="clear" w:pos="4253"/>
        <w:tab w:val="left" w:pos="0"/>
        <w:tab w:val="left" w:pos="3066"/>
      </w:tabs>
      <w:rPr>
        <w:b/>
        <w:sz w:val="20"/>
      </w:rPr>
    </w:pPr>
    <w:r>
      <w:rPr>
        <w:b/>
        <w:noProof/>
        <w:sz w:val="20"/>
        <w:lang w:val="en-GB" w:eastAsia="en-GB"/>
      </w:rPr>
      <w:drawing>
        <wp:anchor distT="0" distB="0" distL="114300" distR="114300" simplePos="0" relativeHeight="251658240" behindDoc="1" locked="0" layoutInCell="1" allowOverlap="1" wp14:anchorId="70C58FA8" wp14:editId="6625106C">
          <wp:simplePos x="0" y="0"/>
          <wp:positionH relativeFrom="column">
            <wp:posOffset>-632460</wp:posOffset>
          </wp:positionH>
          <wp:positionV relativeFrom="paragraph">
            <wp:posOffset>-284923</wp:posOffset>
          </wp:positionV>
          <wp:extent cx="7569200" cy="1181100"/>
          <wp:effectExtent l="0" t="0" r="0" b="0"/>
          <wp:wrapNone/>
          <wp:docPr id="2" name="Picture 2" descr="Untitle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181100"/>
                  </a:xfrm>
                  <a:prstGeom prst="rect">
                    <a:avLst/>
                  </a:prstGeom>
                  <a:noFill/>
                </pic:spPr>
              </pic:pic>
            </a:graphicData>
          </a:graphic>
          <wp14:sizeRelH relativeFrom="page">
            <wp14:pctWidth>0</wp14:pctWidth>
          </wp14:sizeRelH>
          <wp14:sizeRelV relativeFrom="page">
            <wp14:pctHeight>0</wp14:pctHeight>
          </wp14:sizeRelV>
        </wp:anchor>
      </w:drawing>
    </w:r>
    <w:r>
      <w:rPr>
        <w:b/>
        <w:sz w:val="20"/>
      </w:rPr>
      <w:t xml:space="preserve"> </w:t>
    </w:r>
  </w:p>
  <w:p w14:paraId="193829A7" w14:textId="77777777" w:rsidR="00B8237B" w:rsidRDefault="00B8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12"/>
        </w:tabs>
      </w:pPr>
    </w:lvl>
    <w:lvl w:ilvl="1">
      <w:start w:val="1"/>
      <w:numFmt w:val="decimal"/>
      <w:lvlText w:val="%2."/>
      <w:lvlJc w:val="left"/>
      <w:pPr>
        <w:tabs>
          <w:tab w:val="num" w:pos="972"/>
        </w:tabs>
      </w:pPr>
    </w:lvl>
    <w:lvl w:ilvl="2">
      <w:start w:val="1"/>
      <w:numFmt w:val="decimal"/>
      <w:lvlText w:val="%3."/>
      <w:lvlJc w:val="left"/>
      <w:pPr>
        <w:tabs>
          <w:tab w:val="num" w:pos="1332"/>
        </w:tabs>
      </w:pPr>
    </w:lvl>
    <w:lvl w:ilvl="3">
      <w:start w:val="1"/>
      <w:numFmt w:val="decimal"/>
      <w:lvlText w:val="%4."/>
      <w:lvlJc w:val="left"/>
      <w:pPr>
        <w:tabs>
          <w:tab w:val="num" w:pos="1692"/>
        </w:tabs>
      </w:pPr>
    </w:lvl>
    <w:lvl w:ilvl="4">
      <w:start w:val="1"/>
      <w:numFmt w:val="decimal"/>
      <w:lvlText w:val="%5."/>
      <w:lvlJc w:val="left"/>
      <w:pPr>
        <w:tabs>
          <w:tab w:val="num" w:pos="2052"/>
        </w:tabs>
      </w:pPr>
    </w:lvl>
    <w:lvl w:ilvl="5">
      <w:start w:val="1"/>
      <w:numFmt w:val="decimal"/>
      <w:lvlText w:val="%6."/>
      <w:lvlJc w:val="left"/>
      <w:pPr>
        <w:tabs>
          <w:tab w:val="num" w:pos="2412"/>
        </w:tabs>
      </w:pPr>
    </w:lvl>
    <w:lvl w:ilvl="6">
      <w:start w:val="1"/>
      <w:numFmt w:val="decimal"/>
      <w:lvlText w:val="%7."/>
      <w:lvlJc w:val="left"/>
      <w:pPr>
        <w:tabs>
          <w:tab w:val="num" w:pos="2772"/>
        </w:tabs>
      </w:pPr>
    </w:lvl>
    <w:lvl w:ilvl="7">
      <w:start w:val="1"/>
      <w:numFmt w:val="decimal"/>
      <w:lvlText w:val="%8."/>
      <w:lvlJc w:val="left"/>
      <w:pPr>
        <w:tabs>
          <w:tab w:val="num" w:pos="3132"/>
        </w:tabs>
      </w:pPr>
    </w:lvl>
    <w:lvl w:ilvl="8">
      <w:start w:val="1"/>
      <w:numFmt w:val="decimal"/>
      <w:lvlText w:val="%9."/>
      <w:lvlJc w:val="left"/>
      <w:pPr>
        <w:tabs>
          <w:tab w:val="num" w:pos="3492"/>
        </w:tabs>
      </w:pPr>
    </w:lvl>
  </w:abstractNum>
  <w:abstractNum w:abstractNumId="1" w15:restartNumberingAfterBreak="0">
    <w:nsid w:val="02B46B52"/>
    <w:multiLevelType w:val="hybridMultilevel"/>
    <w:tmpl w:val="080C0C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C32D76"/>
    <w:multiLevelType w:val="hybridMultilevel"/>
    <w:tmpl w:val="8CD40B72"/>
    <w:lvl w:ilvl="0" w:tplc="31702102">
      <w:start w:val="4"/>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9E6CA9"/>
    <w:multiLevelType w:val="multilevel"/>
    <w:tmpl w:val="00000008"/>
    <w:name w:val="WW8Num82"/>
    <w:lvl w:ilvl="0">
      <w:start w:val="1"/>
      <w:numFmt w:val="decimal"/>
      <w:lvlText w:val="%1."/>
      <w:lvlJc w:val="left"/>
      <w:pPr>
        <w:tabs>
          <w:tab w:val="num" w:pos="612"/>
        </w:tabs>
      </w:pPr>
    </w:lvl>
    <w:lvl w:ilvl="1">
      <w:start w:val="1"/>
      <w:numFmt w:val="decimal"/>
      <w:lvlText w:val="%2."/>
      <w:lvlJc w:val="left"/>
      <w:pPr>
        <w:tabs>
          <w:tab w:val="num" w:pos="972"/>
        </w:tabs>
      </w:pPr>
    </w:lvl>
    <w:lvl w:ilvl="2">
      <w:start w:val="1"/>
      <w:numFmt w:val="decimal"/>
      <w:lvlText w:val="%3."/>
      <w:lvlJc w:val="left"/>
      <w:pPr>
        <w:tabs>
          <w:tab w:val="num" w:pos="1332"/>
        </w:tabs>
      </w:pPr>
    </w:lvl>
    <w:lvl w:ilvl="3">
      <w:start w:val="1"/>
      <w:numFmt w:val="decimal"/>
      <w:lvlText w:val="%4."/>
      <w:lvlJc w:val="left"/>
      <w:pPr>
        <w:tabs>
          <w:tab w:val="num" w:pos="1692"/>
        </w:tabs>
      </w:pPr>
    </w:lvl>
    <w:lvl w:ilvl="4">
      <w:start w:val="1"/>
      <w:numFmt w:val="decimal"/>
      <w:lvlText w:val="%5."/>
      <w:lvlJc w:val="left"/>
      <w:pPr>
        <w:tabs>
          <w:tab w:val="num" w:pos="2052"/>
        </w:tabs>
      </w:pPr>
    </w:lvl>
    <w:lvl w:ilvl="5">
      <w:start w:val="1"/>
      <w:numFmt w:val="decimal"/>
      <w:lvlText w:val="%6."/>
      <w:lvlJc w:val="left"/>
      <w:pPr>
        <w:tabs>
          <w:tab w:val="num" w:pos="2412"/>
        </w:tabs>
      </w:pPr>
    </w:lvl>
    <w:lvl w:ilvl="6">
      <w:start w:val="1"/>
      <w:numFmt w:val="decimal"/>
      <w:lvlText w:val="%7."/>
      <w:lvlJc w:val="left"/>
      <w:pPr>
        <w:tabs>
          <w:tab w:val="num" w:pos="2772"/>
        </w:tabs>
      </w:pPr>
    </w:lvl>
    <w:lvl w:ilvl="7">
      <w:start w:val="1"/>
      <w:numFmt w:val="decimal"/>
      <w:lvlText w:val="%8."/>
      <w:lvlJc w:val="left"/>
      <w:pPr>
        <w:tabs>
          <w:tab w:val="num" w:pos="3132"/>
        </w:tabs>
      </w:pPr>
    </w:lvl>
    <w:lvl w:ilvl="8">
      <w:start w:val="1"/>
      <w:numFmt w:val="decimal"/>
      <w:lvlText w:val="%9."/>
      <w:lvlJc w:val="left"/>
      <w:pPr>
        <w:tabs>
          <w:tab w:val="num" w:pos="3492"/>
        </w:tabs>
      </w:pPr>
    </w:lvl>
  </w:abstractNum>
  <w:abstractNum w:abstractNumId="5" w15:restartNumberingAfterBreak="0">
    <w:nsid w:val="163F3010"/>
    <w:multiLevelType w:val="hybridMultilevel"/>
    <w:tmpl w:val="45AA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B5E1E"/>
    <w:multiLevelType w:val="hybridMultilevel"/>
    <w:tmpl w:val="A90A9272"/>
    <w:lvl w:ilvl="0" w:tplc="042F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629C9"/>
    <w:multiLevelType w:val="singleLevel"/>
    <w:tmpl w:val="57249CF2"/>
    <w:lvl w:ilvl="0">
      <w:start w:val="1"/>
      <w:numFmt w:val="bullet"/>
      <w:pStyle w:val="nastevanje5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547AA3"/>
    <w:multiLevelType w:val="hybridMultilevel"/>
    <w:tmpl w:val="347CD5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B5527D"/>
    <w:multiLevelType w:val="hybridMultilevel"/>
    <w:tmpl w:val="8580E014"/>
    <w:lvl w:ilvl="0" w:tplc="042F0001">
      <w:start w:val="1"/>
      <w:numFmt w:val="bullet"/>
      <w:lvlText w:val=""/>
      <w:lvlJc w:val="left"/>
      <w:pPr>
        <w:ind w:left="720" w:hanging="360"/>
      </w:pPr>
      <w:rPr>
        <w:rFonts w:ascii="Symbol" w:hAnsi="Symbol" w:hint="default"/>
      </w:rPr>
    </w:lvl>
    <w:lvl w:ilvl="1" w:tplc="042F0003">
      <w:start w:val="1"/>
      <w:numFmt w:val="decimal"/>
      <w:lvlText w:val="%2."/>
      <w:lvlJc w:val="left"/>
      <w:pPr>
        <w:tabs>
          <w:tab w:val="num" w:pos="1440"/>
        </w:tabs>
        <w:ind w:left="1440" w:hanging="360"/>
      </w:pPr>
      <w:rPr>
        <w:rFonts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10" w15:restartNumberingAfterBreak="0">
    <w:nsid w:val="23A6614F"/>
    <w:multiLevelType w:val="hybridMultilevel"/>
    <w:tmpl w:val="A8765D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961480"/>
    <w:multiLevelType w:val="hybridMultilevel"/>
    <w:tmpl w:val="3A0E8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98575F"/>
    <w:multiLevelType w:val="hybridMultilevel"/>
    <w:tmpl w:val="59940116"/>
    <w:lvl w:ilvl="0" w:tplc="042F0001">
      <w:start w:val="1"/>
      <w:numFmt w:val="bullet"/>
      <w:lvlText w:val=""/>
      <w:lvlJc w:val="left"/>
      <w:pPr>
        <w:ind w:left="1553" w:hanging="360"/>
      </w:pPr>
      <w:rPr>
        <w:rFonts w:ascii="Symbol" w:hAnsi="Symbol" w:hint="default"/>
      </w:rPr>
    </w:lvl>
    <w:lvl w:ilvl="1" w:tplc="042F0003" w:tentative="1">
      <w:start w:val="1"/>
      <w:numFmt w:val="bullet"/>
      <w:lvlText w:val="o"/>
      <w:lvlJc w:val="left"/>
      <w:pPr>
        <w:ind w:left="2273" w:hanging="360"/>
      </w:pPr>
      <w:rPr>
        <w:rFonts w:ascii="Courier New" w:hAnsi="Courier New" w:cs="Courier New" w:hint="default"/>
      </w:rPr>
    </w:lvl>
    <w:lvl w:ilvl="2" w:tplc="042F0005" w:tentative="1">
      <w:start w:val="1"/>
      <w:numFmt w:val="bullet"/>
      <w:lvlText w:val=""/>
      <w:lvlJc w:val="left"/>
      <w:pPr>
        <w:ind w:left="2993" w:hanging="360"/>
      </w:pPr>
      <w:rPr>
        <w:rFonts w:ascii="Wingdings" w:hAnsi="Wingdings" w:hint="default"/>
      </w:rPr>
    </w:lvl>
    <w:lvl w:ilvl="3" w:tplc="042F0001" w:tentative="1">
      <w:start w:val="1"/>
      <w:numFmt w:val="bullet"/>
      <w:lvlText w:val=""/>
      <w:lvlJc w:val="left"/>
      <w:pPr>
        <w:ind w:left="3713" w:hanging="360"/>
      </w:pPr>
      <w:rPr>
        <w:rFonts w:ascii="Symbol" w:hAnsi="Symbol" w:hint="default"/>
      </w:rPr>
    </w:lvl>
    <w:lvl w:ilvl="4" w:tplc="042F0003" w:tentative="1">
      <w:start w:val="1"/>
      <w:numFmt w:val="bullet"/>
      <w:lvlText w:val="o"/>
      <w:lvlJc w:val="left"/>
      <w:pPr>
        <w:ind w:left="4433" w:hanging="360"/>
      </w:pPr>
      <w:rPr>
        <w:rFonts w:ascii="Courier New" w:hAnsi="Courier New" w:cs="Courier New" w:hint="default"/>
      </w:rPr>
    </w:lvl>
    <w:lvl w:ilvl="5" w:tplc="042F0005" w:tentative="1">
      <w:start w:val="1"/>
      <w:numFmt w:val="bullet"/>
      <w:lvlText w:val=""/>
      <w:lvlJc w:val="left"/>
      <w:pPr>
        <w:ind w:left="5153" w:hanging="360"/>
      </w:pPr>
      <w:rPr>
        <w:rFonts w:ascii="Wingdings" w:hAnsi="Wingdings" w:hint="default"/>
      </w:rPr>
    </w:lvl>
    <w:lvl w:ilvl="6" w:tplc="042F0001" w:tentative="1">
      <w:start w:val="1"/>
      <w:numFmt w:val="bullet"/>
      <w:lvlText w:val=""/>
      <w:lvlJc w:val="left"/>
      <w:pPr>
        <w:ind w:left="5873" w:hanging="360"/>
      </w:pPr>
      <w:rPr>
        <w:rFonts w:ascii="Symbol" w:hAnsi="Symbol" w:hint="default"/>
      </w:rPr>
    </w:lvl>
    <w:lvl w:ilvl="7" w:tplc="042F0003" w:tentative="1">
      <w:start w:val="1"/>
      <w:numFmt w:val="bullet"/>
      <w:lvlText w:val="o"/>
      <w:lvlJc w:val="left"/>
      <w:pPr>
        <w:ind w:left="6593" w:hanging="360"/>
      </w:pPr>
      <w:rPr>
        <w:rFonts w:ascii="Courier New" w:hAnsi="Courier New" w:cs="Courier New" w:hint="default"/>
      </w:rPr>
    </w:lvl>
    <w:lvl w:ilvl="8" w:tplc="042F0005" w:tentative="1">
      <w:start w:val="1"/>
      <w:numFmt w:val="bullet"/>
      <w:lvlText w:val=""/>
      <w:lvlJc w:val="left"/>
      <w:pPr>
        <w:ind w:left="7313" w:hanging="360"/>
      </w:pPr>
      <w:rPr>
        <w:rFonts w:ascii="Wingdings" w:hAnsi="Wingdings" w:hint="default"/>
      </w:rPr>
    </w:lvl>
  </w:abstractNum>
  <w:abstractNum w:abstractNumId="13" w15:restartNumberingAfterBreak="0">
    <w:nsid w:val="3F211655"/>
    <w:multiLevelType w:val="hybridMultilevel"/>
    <w:tmpl w:val="71FA1AC8"/>
    <w:lvl w:ilvl="0" w:tplc="47060C40">
      <w:start w:val="1"/>
      <w:numFmt w:val="decimal"/>
      <w:lvlText w:val="%1."/>
      <w:lvlJc w:val="left"/>
      <w:pPr>
        <w:tabs>
          <w:tab w:val="num" w:pos="720"/>
        </w:tabs>
        <w:ind w:left="720" w:hanging="360"/>
      </w:pPr>
      <w:rPr>
        <w:rFonts w:cs="Times New Roman"/>
      </w:rPr>
    </w:lvl>
    <w:lvl w:ilvl="1" w:tplc="08090003">
      <w:start w:val="1"/>
      <w:numFmt w:val="bullet"/>
      <w:lvlText w:val=""/>
      <w:lvlJc w:val="left"/>
      <w:pPr>
        <w:tabs>
          <w:tab w:val="num" w:pos="1440"/>
        </w:tabs>
        <w:ind w:left="1440" w:hanging="360"/>
      </w:pPr>
      <w:rPr>
        <w:rFonts w:ascii="Symbol" w:hAnsi="Symbol" w:hint="default"/>
        <w:color w:val="auto"/>
      </w:rPr>
    </w:lvl>
    <w:lvl w:ilvl="2" w:tplc="08090005">
      <w:start w:val="1"/>
      <w:numFmt w:val="lowerLetter"/>
      <w:lvlText w:val="%3."/>
      <w:lvlJc w:val="left"/>
      <w:pPr>
        <w:tabs>
          <w:tab w:val="num" w:pos="2340"/>
        </w:tabs>
        <w:ind w:left="2340" w:hanging="360"/>
      </w:pPr>
      <w:rPr>
        <w:rFonts w:cs="Times New Roman" w:hint="default"/>
      </w:rPr>
    </w:lvl>
    <w:lvl w:ilvl="3" w:tplc="042F0001">
      <w:start w:val="1"/>
      <w:numFmt w:val="bullet"/>
      <w:lvlText w:val=""/>
      <w:lvlJc w:val="left"/>
      <w:pPr>
        <w:tabs>
          <w:tab w:val="num" w:pos="2880"/>
        </w:tabs>
        <w:ind w:left="2880" w:hanging="360"/>
      </w:pPr>
      <w:rPr>
        <w:rFonts w:ascii="Symbol" w:hAnsi="Symbol" w:hint="default"/>
        <w:color w:val="auto"/>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14" w15:restartNumberingAfterBreak="0">
    <w:nsid w:val="449A0E20"/>
    <w:multiLevelType w:val="singleLevel"/>
    <w:tmpl w:val="912E14CC"/>
    <w:lvl w:ilvl="0">
      <w:start w:val="1"/>
      <w:numFmt w:val="bullet"/>
      <w:pStyle w:val="nastevanje2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AB0FF4"/>
    <w:multiLevelType w:val="hybridMultilevel"/>
    <w:tmpl w:val="462EDFBE"/>
    <w:lvl w:ilvl="0" w:tplc="60CE2F02">
      <w:start w:val="1"/>
      <w:numFmt w:val="bullet"/>
      <w:lvlText w:val="-"/>
      <w:lvlJc w:val="left"/>
      <w:pPr>
        <w:ind w:left="720" w:hanging="360"/>
      </w:pPr>
      <w:rPr>
        <w:rFonts w:ascii="Arial" w:eastAsia="Arial" w:hAnsi="Arial" w:hint="default"/>
        <w:w w:val="99"/>
        <w:sz w:val="20"/>
        <w:szCs w:val="20"/>
      </w:rPr>
    </w:lvl>
    <w:lvl w:ilvl="1" w:tplc="042F0003">
      <w:start w:val="1"/>
      <w:numFmt w:val="decimal"/>
      <w:lvlText w:val="%2."/>
      <w:lvlJc w:val="left"/>
      <w:pPr>
        <w:tabs>
          <w:tab w:val="num" w:pos="1440"/>
        </w:tabs>
        <w:ind w:left="1440" w:hanging="360"/>
      </w:pPr>
      <w:rPr>
        <w:rFonts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16" w15:restartNumberingAfterBreak="0">
    <w:nsid w:val="47EF59B1"/>
    <w:multiLevelType w:val="hybridMultilevel"/>
    <w:tmpl w:val="3E9E8DD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499F1065"/>
    <w:multiLevelType w:val="hybridMultilevel"/>
    <w:tmpl w:val="4DBC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C958E1"/>
    <w:multiLevelType w:val="hybridMultilevel"/>
    <w:tmpl w:val="CD6667DA"/>
    <w:lvl w:ilvl="0" w:tplc="31702102">
      <w:start w:val="4"/>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647C7B"/>
    <w:multiLevelType w:val="hybridMultilevel"/>
    <w:tmpl w:val="2A5C76F4"/>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B9E2422"/>
    <w:multiLevelType w:val="hybridMultilevel"/>
    <w:tmpl w:val="C2AE0D22"/>
    <w:lvl w:ilvl="0" w:tplc="31702102">
      <w:start w:val="4"/>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E04E18"/>
    <w:multiLevelType w:val="hybridMultilevel"/>
    <w:tmpl w:val="002E53DE"/>
    <w:lvl w:ilvl="0" w:tplc="824E60FA">
      <w:start w:val="2"/>
      <w:numFmt w:val="bullet"/>
      <w:lvlText w:val="-"/>
      <w:lvlJc w:val="left"/>
      <w:pPr>
        <w:tabs>
          <w:tab w:val="num" w:pos="360"/>
        </w:tabs>
        <w:ind w:left="360" w:hanging="360"/>
      </w:pPr>
      <w:rPr>
        <w:rFonts w:ascii="Arial" w:eastAsia="Times New Roman" w:hAnsi="Arial" w:cs="Arial" w:hint="default"/>
      </w:rPr>
    </w:lvl>
    <w:lvl w:ilvl="1" w:tplc="042F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12DE8"/>
    <w:multiLevelType w:val="hybridMultilevel"/>
    <w:tmpl w:val="C0B6A666"/>
    <w:lvl w:ilvl="0" w:tplc="824E60FA">
      <w:start w:val="2"/>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4A6D7D"/>
    <w:multiLevelType w:val="hybridMultilevel"/>
    <w:tmpl w:val="4360461A"/>
    <w:lvl w:ilvl="0" w:tplc="042F0001">
      <w:start w:val="1"/>
      <w:numFmt w:val="bullet"/>
      <w:lvlText w:val=""/>
      <w:lvlJc w:val="left"/>
      <w:pPr>
        <w:ind w:left="720" w:hanging="360"/>
      </w:pPr>
      <w:rPr>
        <w:rFonts w:ascii="Symbol" w:hAnsi="Symbol" w:hint="default"/>
      </w:rPr>
    </w:lvl>
    <w:lvl w:ilvl="1" w:tplc="042F0003">
      <w:start w:val="1"/>
      <w:numFmt w:val="decimal"/>
      <w:lvlText w:val="%2."/>
      <w:lvlJc w:val="left"/>
      <w:pPr>
        <w:tabs>
          <w:tab w:val="num" w:pos="1440"/>
        </w:tabs>
        <w:ind w:left="1440" w:hanging="360"/>
      </w:pPr>
      <w:rPr>
        <w:rFonts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abstractNum w:abstractNumId="24" w15:restartNumberingAfterBreak="0">
    <w:nsid w:val="574B2849"/>
    <w:multiLevelType w:val="hybridMultilevel"/>
    <w:tmpl w:val="F1000FF6"/>
    <w:lvl w:ilvl="0" w:tplc="042F0001">
      <w:start w:val="1"/>
      <w:numFmt w:val="bullet"/>
      <w:lvlText w:val=""/>
      <w:lvlJc w:val="left"/>
      <w:pPr>
        <w:tabs>
          <w:tab w:val="num" w:pos="1080"/>
        </w:tabs>
        <w:ind w:left="1080" w:hanging="360"/>
      </w:pPr>
      <w:rPr>
        <w:rFonts w:ascii="Symbol" w:hAnsi="Symbol" w:hint="default"/>
        <w:color w:val="auto"/>
      </w:rPr>
    </w:lvl>
    <w:lvl w:ilvl="1" w:tplc="042F0003">
      <w:start w:val="1"/>
      <w:numFmt w:val="bullet"/>
      <w:lvlText w:val="o"/>
      <w:lvlJc w:val="left"/>
      <w:pPr>
        <w:tabs>
          <w:tab w:val="num" w:pos="1800"/>
        </w:tabs>
        <w:ind w:left="1800" w:hanging="360"/>
      </w:pPr>
      <w:rPr>
        <w:rFonts w:ascii="Courier New" w:hAnsi="Courier New" w:hint="default"/>
      </w:rPr>
    </w:lvl>
    <w:lvl w:ilvl="2" w:tplc="042F0005">
      <w:start w:val="1"/>
      <w:numFmt w:val="bullet"/>
      <w:lvlText w:val=""/>
      <w:lvlJc w:val="left"/>
      <w:pPr>
        <w:tabs>
          <w:tab w:val="num" w:pos="2520"/>
        </w:tabs>
        <w:ind w:left="2520" w:hanging="360"/>
      </w:pPr>
      <w:rPr>
        <w:rFonts w:ascii="Wingdings" w:hAnsi="Wingdings" w:hint="default"/>
      </w:rPr>
    </w:lvl>
    <w:lvl w:ilvl="3" w:tplc="042F0001">
      <w:start w:val="1"/>
      <w:numFmt w:val="bullet"/>
      <w:lvlText w:val=""/>
      <w:lvlJc w:val="left"/>
      <w:pPr>
        <w:tabs>
          <w:tab w:val="num" w:pos="3240"/>
        </w:tabs>
        <w:ind w:left="3240" w:hanging="360"/>
      </w:pPr>
      <w:rPr>
        <w:rFonts w:ascii="Symbol" w:hAnsi="Symbol" w:hint="default"/>
      </w:rPr>
    </w:lvl>
    <w:lvl w:ilvl="4" w:tplc="042F0003">
      <w:start w:val="1"/>
      <w:numFmt w:val="bullet"/>
      <w:lvlText w:val="o"/>
      <w:lvlJc w:val="left"/>
      <w:pPr>
        <w:tabs>
          <w:tab w:val="num" w:pos="3960"/>
        </w:tabs>
        <w:ind w:left="3960" w:hanging="360"/>
      </w:pPr>
      <w:rPr>
        <w:rFonts w:ascii="Courier New" w:hAnsi="Courier New" w:hint="default"/>
      </w:rPr>
    </w:lvl>
    <w:lvl w:ilvl="5" w:tplc="042F0005">
      <w:start w:val="1"/>
      <w:numFmt w:val="bullet"/>
      <w:lvlText w:val=""/>
      <w:lvlJc w:val="left"/>
      <w:pPr>
        <w:tabs>
          <w:tab w:val="num" w:pos="4680"/>
        </w:tabs>
        <w:ind w:left="4680" w:hanging="360"/>
      </w:pPr>
      <w:rPr>
        <w:rFonts w:ascii="Wingdings" w:hAnsi="Wingdings" w:hint="default"/>
      </w:rPr>
    </w:lvl>
    <w:lvl w:ilvl="6" w:tplc="042F0001">
      <w:start w:val="1"/>
      <w:numFmt w:val="bullet"/>
      <w:lvlText w:val=""/>
      <w:lvlJc w:val="left"/>
      <w:pPr>
        <w:tabs>
          <w:tab w:val="num" w:pos="5400"/>
        </w:tabs>
        <w:ind w:left="5400" w:hanging="360"/>
      </w:pPr>
      <w:rPr>
        <w:rFonts w:ascii="Symbol" w:hAnsi="Symbol" w:hint="default"/>
      </w:rPr>
    </w:lvl>
    <w:lvl w:ilvl="7" w:tplc="042F0003">
      <w:start w:val="1"/>
      <w:numFmt w:val="bullet"/>
      <w:lvlText w:val="o"/>
      <w:lvlJc w:val="left"/>
      <w:pPr>
        <w:tabs>
          <w:tab w:val="num" w:pos="6120"/>
        </w:tabs>
        <w:ind w:left="6120" w:hanging="360"/>
      </w:pPr>
      <w:rPr>
        <w:rFonts w:ascii="Courier New" w:hAnsi="Courier New" w:hint="default"/>
      </w:rPr>
    </w:lvl>
    <w:lvl w:ilvl="8" w:tplc="042F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A745287"/>
    <w:multiLevelType w:val="singleLevel"/>
    <w:tmpl w:val="5B0076F8"/>
    <w:lvl w:ilvl="0">
      <w:start w:val="1"/>
      <w:numFmt w:val="bullet"/>
      <w:pStyle w:val="nastevanje3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1AA0172"/>
    <w:multiLevelType w:val="hybridMultilevel"/>
    <w:tmpl w:val="4202BDB6"/>
    <w:lvl w:ilvl="0" w:tplc="824E60FA">
      <w:start w:val="2"/>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7F2A37"/>
    <w:multiLevelType w:val="hybridMultilevel"/>
    <w:tmpl w:val="9928095C"/>
    <w:lvl w:ilvl="0" w:tplc="31702102">
      <w:start w:val="4"/>
      <w:numFmt w:val="bullet"/>
      <w:lvlText w:val="-"/>
      <w:lvlJc w:val="left"/>
      <w:pPr>
        <w:tabs>
          <w:tab w:val="num" w:pos="780"/>
        </w:tabs>
        <w:ind w:left="78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61DAC"/>
    <w:multiLevelType w:val="hybridMultilevel"/>
    <w:tmpl w:val="0504E72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6DC57801"/>
    <w:multiLevelType w:val="hybridMultilevel"/>
    <w:tmpl w:val="1812D7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727C4AC7"/>
    <w:multiLevelType w:val="hybridMultilevel"/>
    <w:tmpl w:val="10FE418E"/>
    <w:lvl w:ilvl="0" w:tplc="31702102">
      <w:start w:val="4"/>
      <w:numFmt w:val="bullet"/>
      <w:lvlText w:val="-"/>
      <w:lvlJc w:val="left"/>
      <w:pPr>
        <w:tabs>
          <w:tab w:val="num" w:pos="900"/>
        </w:tabs>
        <w:ind w:left="90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3764C0"/>
    <w:multiLevelType w:val="hybridMultilevel"/>
    <w:tmpl w:val="EA8CC07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780708A1"/>
    <w:multiLevelType w:val="singleLevel"/>
    <w:tmpl w:val="EB48B1D0"/>
    <w:lvl w:ilvl="0">
      <w:start w:val="1"/>
      <w:numFmt w:val="bullet"/>
      <w:pStyle w:val="nastevanje4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E5C58A8"/>
    <w:multiLevelType w:val="hybridMultilevel"/>
    <w:tmpl w:val="FADA29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7F8603F0"/>
    <w:multiLevelType w:val="hybridMultilevel"/>
    <w:tmpl w:val="5E7C45F0"/>
    <w:lvl w:ilvl="0" w:tplc="042F0001">
      <w:start w:val="1"/>
      <w:numFmt w:val="bullet"/>
      <w:lvlText w:val=""/>
      <w:lvlJc w:val="left"/>
      <w:pPr>
        <w:ind w:left="720" w:hanging="360"/>
      </w:pPr>
      <w:rPr>
        <w:rFonts w:ascii="Symbol" w:hAnsi="Symbol" w:hint="default"/>
      </w:rPr>
    </w:lvl>
    <w:lvl w:ilvl="1" w:tplc="042F0003">
      <w:start w:val="1"/>
      <w:numFmt w:val="decimal"/>
      <w:lvlText w:val="%2."/>
      <w:lvlJc w:val="left"/>
      <w:pPr>
        <w:tabs>
          <w:tab w:val="num" w:pos="1440"/>
        </w:tabs>
        <w:ind w:left="1440" w:hanging="360"/>
      </w:pPr>
      <w:rPr>
        <w:rFonts w:cs="Times New Roman"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hint="default"/>
      </w:rPr>
    </w:lvl>
    <w:lvl w:ilvl="8" w:tplc="042F0005">
      <w:start w:val="1"/>
      <w:numFmt w:val="bullet"/>
      <w:lvlText w:val=""/>
      <w:lvlJc w:val="left"/>
      <w:pPr>
        <w:ind w:left="6480" w:hanging="360"/>
      </w:pPr>
      <w:rPr>
        <w:rFonts w:ascii="Wingdings" w:hAnsi="Wingdings" w:hint="default"/>
      </w:rPr>
    </w:lvl>
  </w:abstractNum>
  <w:num w:numId="1" w16cid:durableId="377896097">
    <w:abstractNumId w:val="3"/>
  </w:num>
  <w:num w:numId="2" w16cid:durableId="37358309">
    <w:abstractNumId w:val="14"/>
  </w:num>
  <w:num w:numId="3" w16cid:durableId="1823034360">
    <w:abstractNumId w:val="32"/>
  </w:num>
  <w:num w:numId="4" w16cid:durableId="184516355">
    <w:abstractNumId w:val="7"/>
  </w:num>
  <w:num w:numId="5" w16cid:durableId="9646834">
    <w:abstractNumId w:val="25"/>
  </w:num>
  <w:num w:numId="6" w16cid:durableId="878204894">
    <w:abstractNumId w:val="5"/>
  </w:num>
  <w:num w:numId="7" w16cid:durableId="1535774058">
    <w:abstractNumId w:val="19"/>
  </w:num>
  <w:num w:numId="8" w16cid:durableId="1688436285">
    <w:abstractNumId w:val="26"/>
  </w:num>
  <w:num w:numId="9" w16cid:durableId="2112822044">
    <w:abstractNumId w:val="22"/>
  </w:num>
  <w:num w:numId="10" w16cid:durableId="299457386">
    <w:abstractNumId w:val="11"/>
  </w:num>
  <w:num w:numId="11" w16cid:durableId="2012876962">
    <w:abstractNumId w:val="1"/>
  </w:num>
  <w:num w:numId="12" w16cid:durableId="1886797754">
    <w:abstractNumId w:val="10"/>
  </w:num>
  <w:num w:numId="13" w16cid:durableId="2027176012">
    <w:abstractNumId w:val="8"/>
  </w:num>
  <w:num w:numId="14" w16cid:durableId="1051156282">
    <w:abstractNumId w:val="21"/>
  </w:num>
  <w:num w:numId="15" w16cid:durableId="238440189">
    <w:abstractNumId w:val="27"/>
  </w:num>
  <w:num w:numId="16" w16cid:durableId="1541480832">
    <w:abstractNumId w:val="16"/>
  </w:num>
  <w:num w:numId="17" w16cid:durableId="994527728">
    <w:abstractNumId w:val="28"/>
  </w:num>
  <w:num w:numId="18" w16cid:durableId="408505897">
    <w:abstractNumId w:val="31"/>
  </w:num>
  <w:num w:numId="19" w16cid:durableId="464474315">
    <w:abstractNumId w:val="12"/>
  </w:num>
  <w:num w:numId="20" w16cid:durableId="239097758">
    <w:abstractNumId w:val="13"/>
  </w:num>
  <w:num w:numId="21" w16cid:durableId="1574201375">
    <w:abstractNumId w:val="24"/>
  </w:num>
  <w:num w:numId="22" w16cid:durableId="1448738935">
    <w:abstractNumId w:val="6"/>
  </w:num>
  <w:num w:numId="23" w16cid:durableId="1006396862">
    <w:abstractNumId w:val="15"/>
  </w:num>
  <w:num w:numId="24" w16cid:durableId="1652708351">
    <w:abstractNumId w:val="30"/>
  </w:num>
  <w:num w:numId="25" w16cid:durableId="634413425">
    <w:abstractNumId w:val="18"/>
  </w:num>
  <w:num w:numId="26" w16cid:durableId="1338997435">
    <w:abstractNumId w:val="20"/>
  </w:num>
  <w:num w:numId="27" w16cid:durableId="1692532970">
    <w:abstractNumId w:val="2"/>
  </w:num>
  <w:num w:numId="28" w16cid:durableId="1971744451">
    <w:abstractNumId w:val="30"/>
  </w:num>
  <w:num w:numId="29" w16cid:durableId="1863548513">
    <w:abstractNumId w:val="18"/>
  </w:num>
  <w:num w:numId="30" w16cid:durableId="788014066">
    <w:abstractNumId w:val="2"/>
  </w:num>
  <w:num w:numId="31" w16cid:durableId="230233437">
    <w:abstractNumId w:val="30"/>
  </w:num>
  <w:num w:numId="32" w16cid:durableId="1800680059">
    <w:abstractNumId w:val="18"/>
  </w:num>
  <w:num w:numId="33" w16cid:durableId="344475713">
    <w:abstractNumId w:val="2"/>
  </w:num>
  <w:num w:numId="34" w16cid:durableId="119307862">
    <w:abstractNumId w:val="17"/>
  </w:num>
  <w:num w:numId="35" w16cid:durableId="193352950">
    <w:abstractNumId w:val="29"/>
  </w:num>
  <w:num w:numId="36" w16cid:durableId="981427526">
    <w:abstractNumId w:val="33"/>
  </w:num>
  <w:num w:numId="37" w16cid:durableId="2073699626">
    <w:abstractNumId w:val="23"/>
  </w:num>
  <w:num w:numId="38" w16cid:durableId="147481694">
    <w:abstractNumId w:val="34"/>
  </w:num>
  <w:num w:numId="39" w16cid:durableId="68147179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D3"/>
    <w:rsid w:val="00000DAF"/>
    <w:rsid w:val="00001A3E"/>
    <w:rsid w:val="00003939"/>
    <w:rsid w:val="00004342"/>
    <w:rsid w:val="0000453E"/>
    <w:rsid w:val="0000580A"/>
    <w:rsid w:val="00006F33"/>
    <w:rsid w:val="00010283"/>
    <w:rsid w:val="000106C3"/>
    <w:rsid w:val="0001483B"/>
    <w:rsid w:val="0002131D"/>
    <w:rsid w:val="0002479C"/>
    <w:rsid w:val="00026842"/>
    <w:rsid w:val="00030248"/>
    <w:rsid w:val="00030F47"/>
    <w:rsid w:val="0003156C"/>
    <w:rsid w:val="00032759"/>
    <w:rsid w:val="000328DF"/>
    <w:rsid w:val="00033050"/>
    <w:rsid w:val="00033480"/>
    <w:rsid w:val="00033DE8"/>
    <w:rsid w:val="00035B01"/>
    <w:rsid w:val="00036C6C"/>
    <w:rsid w:val="00037550"/>
    <w:rsid w:val="00037E99"/>
    <w:rsid w:val="000442B4"/>
    <w:rsid w:val="00044AFC"/>
    <w:rsid w:val="00044CDF"/>
    <w:rsid w:val="00047DEC"/>
    <w:rsid w:val="00051AAA"/>
    <w:rsid w:val="00052794"/>
    <w:rsid w:val="00053946"/>
    <w:rsid w:val="00054F6A"/>
    <w:rsid w:val="00056016"/>
    <w:rsid w:val="00057DD4"/>
    <w:rsid w:val="000617DB"/>
    <w:rsid w:val="00062CEE"/>
    <w:rsid w:val="0006597D"/>
    <w:rsid w:val="0006706F"/>
    <w:rsid w:val="0007356D"/>
    <w:rsid w:val="000742AB"/>
    <w:rsid w:val="00074818"/>
    <w:rsid w:val="0008044D"/>
    <w:rsid w:val="00085FB7"/>
    <w:rsid w:val="00086D08"/>
    <w:rsid w:val="000900F4"/>
    <w:rsid w:val="0009169D"/>
    <w:rsid w:val="00091A9D"/>
    <w:rsid w:val="000934BC"/>
    <w:rsid w:val="00096DC7"/>
    <w:rsid w:val="000A27AC"/>
    <w:rsid w:val="000A4CFF"/>
    <w:rsid w:val="000B34B3"/>
    <w:rsid w:val="000B7C52"/>
    <w:rsid w:val="000B7F4A"/>
    <w:rsid w:val="000C383D"/>
    <w:rsid w:val="000C3BEA"/>
    <w:rsid w:val="000C59EA"/>
    <w:rsid w:val="000C5CEC"/>
    <w:rsid w:val="000C666E"/>
    <w:rsid w:val="000D0605"/>
    <w:rsid w:val="000D6FF4"/>
    <w:rsid w:val="000D7218"/>
    <w:rsid w:val="000E0869"/>
    <w:rsid w:val="000E0B4C"/>
    <w:rsid w:val="000E10CE"/>
    <w:rsid w:val="000E231F"/>
    <w:rsid w:val="000E6686"/>
    <w:rsid w:val="000F06CD"/>
    <w:rsid w:val="000F0DF2"/>
    <w:rsid w:val="000F3C3C"/>
    <w:rsid w:val="000F3DFE"/>
    <w:rsid w:val="000F62AC"/>
    <w:rsid w:val="00101CAF"/>
    <w:rsid w:val="00107856"/>
    <w:rsid w:val="00111693"/>
    <w:rsid w:val="00113318"/>
    <w:rsid w:val="001160A3"/>
    <w:rsid w:val="00120709"/>
    <w:rsid w:val="001222FF"/>
    <w:rsid w:val="00124D67"/>
    <w:rsid w:val="00124E35"/>
    <w:rsid w:val="001271F1"/>
    <w:rsid w:val="00127B3B"/>
    <w:rsid w:val="00131F55"/>
    <w:rsid w:val="0013297D"/>
    <w:rsid w:val="00133123"/>
    <w:rsid w:val="00140D26"/>
    <w:rsid w:val="00140DB7"/>
    <w:rsid w:val="00145ADF"/>
    <w:rsid w:val="00145F1A"/>
    <w:rsid w:val="00151325"/>
    <w:rsid w:val="0015198B"/>
    <w:rsid w:val="00151D9E"/>
    <w:rsid w:val="00152246"/>
    <w:rsid w:val="001531B4"/>
    <w:rsid w:val="0015327A"/>
    <w:rsid w:val="001548B7"/>
    <w:rsid w:val="001579E5"/>
    <w:rsid w:val="00160180"/>
    <w:rsid w:val="00160652"/>
    <w:rsid w:val="00160CB0"/>
    <w:rsid w:val="00162CCC"/>
    <w:rsid w:val="00166E7C"/>
    <w:rsid w:val="00171922"/>
    <w:rsid w:val="001719AE"/>
    <w:rsid w:val="00173126"/>
    <w:rsid w:val="00174130"/>
    <w:rsid w:val="00177105"/>
    <w:rsid w:val="00177E38"/>
    <w:rsid w:val="00180663"/>
    <w:rsid w:val="0018216C"/>
    <w:rsid w:val="001822C6"/>
    <w:rsid w:val="00182FF6"/>
    <w:rsid w:val="001869D2"/>
    <w:rsid w:val="00190988"/>
    <w:rsid w:val="00190B31"/>
    <w:rsid w:val="001913E6"/>
    <w:rsid w:val="0019199D"/>
    <w:rsid w:val="001945CB"/>
    <w:rsid w:val="00194F61"/>
    <w:rsid w:val="00195DA4"/>
    <w:rsid w:val="001975E0"/>
    <w:rsid w:val="00197F56"/>
    <w:rsid w:val="001A07A0"/>
    <w:rsid w:val="001A2CA9"/>
    <w:rsid w:val="001A5607"/>
    <w:rsid w:val="001A5A7F"/>
    <w:rsid w:val="001A7691"/>
    <w:rsid w:val="001B1106"/>
    <w:rsid w:val="001B1DAB"/>
    <w:rsid w:val="001B1F18"/>
    <w:rsid w:val="001B57C1"/>
    <w:rsid w:val="001B6644"/>
    <w:rsid w:val="001B70AB"/>
    <w:rsid w:val="001B7D97"/>
    <w:rsid w:val="001C2275"/>
    <w:rsid w:val="001C48C8"/>
    <w:rsid w:val="001C515C"/>
    <w:rsid w:val="001C5EB6"/>
    <w:rsid w:val="001D2E21"/>
    <w:rsid w:val="001D3FC6"/>
    <w:rsid w:val="001D51E9"/>
    <w:rsid w:val="001D556B"/>
    <w:rsid w:val="001E08BE"/>
    <w:rsid w:val="001E0F5E"/>
    <w:rsid w:val="001E1493"/>
    <w:rsid w:val="001E2D76"/>
    <w:rsid w:val="001E397B"/>
    <w:rsid w:val="001E4B48"/>
    <w:rsid w:val="001E500F"/>
    <w:rsid w:val="001E5A4A"/>
    <w:rsid w:val="001E7516"/>
    <w:rsid w:val="001F0CD1"/>
    <w:rsid w:val="001F24B6"/>
    <w:rsid w:val="001F3394"/>
    <w:rsid w:val="001F364D"/>
    <w:rsid w:val="001F4088"/>
    <w:rsid w:val="001F5A2D"/>
    <w:rsid w:val="0020063D"/>
    <w:rsid w:val="002010D2"/>
    <w:rsid w:val="00207A77"/>
    <w:rsid w:val="00211617"/>
    <w:rsid w:val="002141AF"/>
    <w:rsid w:val="0021746B"/>
    <w:rsid w:val="00217BBE"/>
    <w:rsid w:val="00221306"/>
    <w:rsid w:val="0022239F"/>
    <w:rsid w:val="00222E9A"/>
    <w:rsid w:val="002252B1"/>
    <w:rsid w:val="00225703"/>
    <w:rsid w:val="00227347"/>
    <w:rsid w:val="00230672"/>
    <w:rsid w:val="00230EE1"/>
    <w:rsid w:val="00232191"/>
    <w:rsid w:val="0023580E"/>
    <w:rsid w:val="00241EAF"/>
    <w:rsid w:val="00244281"/>
    <w:rsid w:val="00245FFC"/>
    <w:rsid w:val="002465B5"/>
    <w:rsid w:val="002506F3"/>
    <w:rsid w:val="00251806"/>
    <w:rsid w:val="00251F14"/>
    <w:rsid w:val="00252AC4"/>
    <w:rsid w:val="00254FCB"/>
    <w:rsid w:val="00256863"/>
    <w:rsid w:val="00256D1E"/>
    <w:rsid w:val="0025793D"/>
    <w:rsid w:val="0026201B"/>
    <w:rsid w:val="00265703"/>
    <w:rsid w:val="002658CB"/>
    <w:rsid w:val="00265E2C"/>
    <w:rsid w:val="00265F42"/>
    <w:rsid w:val="00266B4B"/>
    <w:rsid w:val="00267C9F"/>
    <w:rsid w:val="0027007C"/>
    <w:rsid w:val="00270138"/>
    <w:rsid w:val="00272684"/>
    <w:rsid w:val="00274F87"/>
    <w:rsid w:val="002758E8"/>
    <w:rsid w:val="002763A5"/>
    <w:rsid w:val="002772CC"/>
    <w:rsid w:val="0028074B"/>
    <w:rsid w:val="002835D2"/>
    <w:rsid w:val="002865A9"/>
    <w:rsid w:val="002923FA"/>
    <w:rsid w:val="00293AF7"/>
    <w:rsid w:val="00294063"/>
    <w:rsid w:val="00294844"/>
    <w:rsid w:val="00294B8A"/>
    <w:rsid w:val="00295074"/>
    <w:rsid w:val="00295130"/>
    <w:rsid w:val="002A1ED6"/>
    <w:rsid w:val="002A57D0"/>
    <w:rsid w:val="002B1414"/>
    <w:rsid w:val="002B309D"/>
    <w:rsid w:val="002B3580"/>
    <w:rsid w:val="002B407F"/>
    <w:rsid w:val="002B485A"/>
    <w:rsid w:val="002B5F5F"/>
    <w:rsid w:val="002B7C20"/>
    <w:rsid w:val="002B7C7E"/>
    <w:rsid w:val="002C0DD2"/>
    <w:rsid w:val="002C33B1"/>
    <w:rsid w:val="002C3F9D"/>
    <w:rsid w:val="002C482B"/>
    <w:rsid w:val="002C74E2"/>
    <w:rsid w:val="002C7BEB"/>
    <w:rsid w:val="002D2441"/>
    <w:rsid w:val="002D2A78"/>
    <w:rsid w:val="002D40B0"/>
    <w:rsid w:val="002E5829"/>
    <w:rsid w:val="002F153C"/>
    <w:rsid w:val="002F20A7"/>
    <w:rsid w:val="002F5AF4"/>
    <w:rsid w:val="002F6324"/>
    <w:rsid w:val="002F6B97"/>
    <w:rsid w:val="00303342"/>
    <w:rsid w:val="003037BD"/>
    <w:rsid w:val="00305C06"/>
    <w:rsid w:val="0030611B"/>
    <w:rsid w:val="00310320"/>
    <w:rsid w:val="00310547"/>
    <w:rsid w:val="00312267"/>
    <w:rsid w:val="00312C25"/>
    <w:rsid w:val="00314C75"/>
    <w:rsid w:val="0031562C"/>
    <w:rsid w:val="003166ED"/>
    <w:rsid w:val="00317D34"/>
    <w:rsid w:val="00320E9C"/>
    <w:rsid w:val="00322A2A"/>
    <w:rsid w:val="00322B35"/>
    <w:rsid w:val="003231A8"/>
    <w:rsid w:val="00323816"/>
    <w:rsid w:val="00324D5C"/>
    <w:rsid w:val="00325F3F"/>
    <w:rsid w:val="00327BD6"/>
    <w:rsid w:val="00327EC3"/>
    <w:rsid w:val="00332122"/>
    <w:rsid w:val="00332ABD"/>
    <w:rsid w:val="00333FEB"/>
    <w:rsid w:val="00334387"/>
    <w:rsid w:val="00334514"/>
    <w:rsid w:val="00334AC9"/>
    <w:rsid w:val="00342AA0"/>
    <w:rsid w:val="00345226"/>
    <w:rsid w:val="00347E29"/>
    <w:rsid w:val="00351FC9"/>
    <w:rsid w:val="0035216A"/>
    <w:rsid w:val="00353265"/>
    <w:rsid w:val="00353C69"/>
    <w:rsid w:val="003540EA"/>
    <w:rsid w:val="003550BF"/>
    <w:rsid w:val="00356444"/>
    <w:rsid w:val="0035754E"/>
    <w:rsid w:val="00361C1F"/>
    <w:rsid w:val="0036211D"/>
    <w:rsid w:val="00363804"/>
    <w:rsid w:val="003639C0"/>
    <w:rsid w:val="0036408D"/>
    <w:rsid w:val="00365E21"/>
    <w:rsid w:val="003731E6"/>
    <w:rsid w:val="0037520D"/>
    <w:rsid w:val="00376083"/>
    <w:rsid w:val="003768FE"/>
    <w:rsid w:val="003777B6"/>
    <w:rsid w:val="0038051D"/>
    <w:rsid w:val="00380A7D"/>
    <w:rsid w:val="00384F0C"/>
    <w:rsid w:val="00386AAE"/>
    <w:rsid w:val="00390627"/>
    <w:rsid w:val="00394AA8"/>
    <w:rsid w:val="003971B1"/>
    <w:rsid w:val="003A06CC"/>
    <w:rsid w:val="003A160A"/>
    <w:rsid w:val="003A1E90"/>
    <w:rsid w:val="003A3D54"/>
    <w:rsid w:val="003A55D3"/>
    <w:rsid w:val="003A710F"/>
    <w:rsid w:val="003A716E"/>
    <w:rsid w:val="003B2549"/>
    <w:rsid w:val="003B3521"/>
    <w:rsid w:val="003B651E"/>
    <w:rsid w:val="003C0583"/>
    <w:rsid w:val="003C37CF"/>
    <w:rsid w:val="003C4968"/>
    <w:rsid w:val="003C5189"/>
    <w:rsid w:val="003C584E"/>
    <w:rsid w:val="003C6FFF"/>
    <w:rsid w:val="003C7204"/>
    <w:rsid w:val="003D0959"/>
    <w:rsid w:val="003D0DCB"/>
    <w:rsid w:val="003D2958"/>
    <w:rsid w:val="003D3F1D"/>
    <w:rsid w:val="003D4C78"/>
    <w:rsid w:val="003D57D5"/>
    <w:rsid w:val="003D6784"/>
    <w:rsid w:val="003E65AD"/>
    <w:rsid w:val="003E756A"/>
    <w:rsid w:val="003F0AAE"/>
    <w:rsid w:val="003F40FD"/>
    <w:rsid w:val="003F4821"/>
    <w:rsid w:val="00401707"/>
    <w:rsid w:val="00407314"/>
    <w:rsid w:val="00407B01"/>
    <w:rsid w:val="00407B95"/>
    <w:rsid w:val="00407D74"/>
    <w:rsid w:val="004116B0"/>
    <w:rsid w:val="0041401F"/>
    <w:rsid w:val="0041464C"/>
    <w:rsid w:val="00414923"/>
    <w:rsid w:val="004174BF"/>
    <w:rsid w:val="00425456"/>
    <w:rsid w:val="00425EB9"/>
    <w:rsid w:val="00426DE9"/>
    <w:rsid w:val="004361F8"/>
    <w:rsid w:val="00437E8E"/>
    <w:rsid w:val="004406F5"/>
    <w:rsid w:val="00440926"/>
    <w:rsid w:val="00440AA2"/>
    <w:rsid w:val="00440ECB"/>
    <w:rsid w:val="00444F9E"/>
    <w:rsid w:val="00446545"/>
    <w:rsid w:val="004521F0"/>
    <w:rsid w:val="00454405"/>
    <w:rsid w:val="00454735"/>
    <w:rsid w:val="00461AB6"/>
    <w:rsid w:val="00461EB0"/>
    <w:rsid w:val="00462407"/>
    <w:rsid w:val="00464B81"/>
    <w:rsid w:val="00467E17"/>
    <w:rsid w:val="00470167"/>
    <w:rsid w:val="004701EF"/>
    <w:rsid w:val="004710DD"/>
    <w:rsid w:val="00471937"/>
    <w:rsid w:val="004723B4"/>
    <w:rsid w:val="0047240F"/>
    <w:rsid w:val="0047243B"/>
    <w:rsid w:val="00477A09"/>
    <w:rsid w:val="00480D9D"/>
    <w:rsid w:val="0048129A"/>
    <w:rsid w:val="00481482"/>
    <w:rsid w:val="004846C1"/>
    <w:rsid w:val="00485002"/>
    <w:rsid w:val="00485846"/>
    <w:rsid w:val="00485865"/>
    <w:rsid w:val="004870DC"/>
    <w:rsid w:val="00490BE4"/>
    <w:rsid w:val="004925F7"/>
    <w:rsid w:val="00493BDF"/>
    <w:rsid w:val="004944A4"/>
    <w:rsid w:val="004956F3"/>
    <w:rsid w:val="004960F2"/>
    <w:rsid w:val="004A2000"/>
    <w:rsid w:val="004A2894"/>
    <w:rsid w:val="004A2AC7"/>
    <w:rsid w:val="004A3904"/>
    <w:rsid w:val="004A4A78"/>
    <w:rsid w:val="004A7214"/>
    <w:rsid w:val="004B0251"/>
    <w:rsid w:val="004B0322"/>
    <w:rsid w:val="004B345F"/>
    <w:rsid w:val="004B3823"/>
    <w:rsid w:val="004B654E"/>
    <w:rsid w:val="004C012A"/>
    <w:rsid w:val="004C186D"/>
    <w:rsid w:val="004C431F"/>
    <w:rsid w:val="004C5A6A"/>
    <w:rsid w:val="004C7D3F"/>
    <w:rsid w:val="004D0382"/>
    <w:rsid w:val="004D0DBC"/>
    <w:rsid w:val="004D157D"/>
    <w:rsid w:val="004D1A92"/>
    <w:rsid w:val="004D382B"/>
    <w:rsid w:val="004D5B71"/>
    <w:rsid w:val="004E009C"/>
    <w:rsid w:val="004E286E"/>
    <w:rsid w:val="004E299D"/>
    <w:rsid w:val="004E3E27"/>
    <w:rsid w:val="004E4626"/>
    <w:rsid w:val="004E4D20"/>
    <w:rsid w:val="004E5855"/>
    <w:rsid w:val="004F04D1"/>
    <w:rsid w:val="004F1A23"/>
    <w:rsid w:val="004F3309"/>
    <w:rsid w:val="004F5A17"/>
    <w:rsid w:val="004F789B"/>
    <w:rsid w:val="00501ECD"/>
    <w:rsid w:val="00503C5D"/>
    <w:rsid w:val="00504838"/>
    <w:rsid w:val="00507F1A"/>
    <w:rsid w:val="005103B4"/>
    <w:rsid w:val="00510794"/>
    <w:rsid w:val="00510CA7"/>
    <w:rsid w:val="00515A9E"/>
    <w:rsid w:val="005200F5"/>
    <w:rsid w:val="0052133B"/>
    <w:rsid w:val="00522833"/>
    <w:rsid w:val="00525569"/>
    <w:rsid w:val="00525570"/>
    <w:rsid w:val="005259D5"/>
    <w:rsid w:val="0052737F"/>
    <w:rsid w:val="005278F2"/>
    <w:rsid w:val="00531389"/>
    <w:rsid w:val="00533C8E"/>
    <w:rsid w:val="00533CC9"/>
    <w:rsid w:val="00534088"/>
    <w:rsid w:val="00540A23"/>
    <w:rsid w:val="00541778"/>
    <w:rsid w:val="00541A9B"/>
    <w:rsid w:val="00543DF6"/>
    <w:rsid w:val="00544801"/>
    <w:rsid w:val="005478A9"/>
    <w:rsid w:val="005519D0"/>
    <w:rsid w:val="00552AF4"/>
    <w:rsid w:val="0055487F"/>
    <w:rsid w:val="00555852"/>
    <w:rsid w:val="0055627F"/>
    <w:rsid w:val="005600A7"/>
    <w:rsid w:val="00560278"/>
    <w:rsid w:val="00561003"/>
    <w:rsid w:val="005654A1"/>
    <w:rsid w:val="005669EF"/>
    <w:rsid w:val="00567284"/>
    <w:rsid w:val="005733BC"/>
    <w:rsid w:val="00574B5D"/>
    <w:rsid w:val="00576A10"/>
    <w:rsid w:val="00580673"/>
    <w:rsid w:val="00580FEF"/>
    <w:rsid w:val="00581E55"/>
    <w:rsid w:val="00584DE9"/>
    <w:rsid w:val="005852A9"/>
    <w:rsid w:val="00586836"/>
    <w:rsid w:val="00586E7B"/>
    <w:rsid w:val="005874C1"/>
    <w:rsid w:val="00587936"/>
    <w:rsid w:val="00591ABB"/>
    <w:rsid w:val="005928DA"/>
    <w:rsid w:val="00592D13"/>
    <w:rsid w:val="00593C37"/>
    <w:rsid w:val="005944E7"/>
    <w:rsid w:val="00597DBC"/>
    <w:rsid w:val="005A01FD"/>
    <w:rsid w:val="005A13C3"/>
    <w:rsid w:val="005A276E"/>
    <w:rsid w:val="005A38E3"/>
    <w:rsid w:val="005A6C92"/>
    <w:rsid w:val="005B1265"/>
    <w:rsid w:val="005B3746"/>
    <w:rsid w:val="005B4D57"/>
    <w:rsid w:val="005B5A67"/>
    <w:rsid w:val="005B60D2"/>
    <w:rsid w:val="005B6BBB"/>
    <w:rsid w:val="005B7B18"/>
    <w:rsid w:val="005C1368"/>
    <w:rsid w:val="005C23AC"/>
    <w:rsid w:val="005C3AF4"/>
    <w:rsid w:val="005C42D6"/>
    <w:rsid w:val="005D1A1E"/>
    <w:rsid w:val="005D3443"/>
    <w:rsid w:val="005D6D62"/>
    <w:rsid w:val="005D75A2"/>
    <w:rsid w:val="005E521A"/>
    <w:rsid w:val="005E58C9"/>
    <w:rsid w:val="005E616C"/>
    <w:rsid w:val="005F0EC8"/>
    <w:rsid w:val="005F13A5"/>
    <w:rsid w:val="005F1747"/>
    <w:rsid w:val="005F36CB"/>
    <w:rsid w:val="005F3C12"/>
    <w:rsid w:val="005F443B"/>
    <w:rsid w:val="005F4D23"/>
    <w:rsid w:val="005F743D"/>
    <w:rsid w:val="006000CF"/>
    <w:rsid w:val="00600EB7"/>
    <w:rsid w:val="00602346"/>
    <w:rsid w:val="00602788"/>
    <w:rsid w:val="00603A53"/>
    <w:rsid w:val="006043CA"/>
    <w:rsid w:val="00605561"/>
    <w:rsid w:val="006062D8"/>
    <w:rsid w:val="00613337"/>
    <w:rsid w:val="00616E99"/>
    <w:rsid w:val="0062057D"/>
    <w:rsid w:val="00620B44"/>
    <w:rsid w:val="006214D0"/>
    <w:rsid w:val="006214E8"/>
    <w:rsid w:val="00623FFF"/>
    <w:rsid w:val="00626A67"/>
    <w:rsid w:val="006270CB"/>
    <w:rsid w:val="00633293"/>
    <w:rsid w:val="00635442"/>
    <w:rsid w:val="00635B59"/>
    <w:rsid w:val="00637803"/>
    <w:rsid w:val="00640A5B"/>
    <w:rsid w:val="0064105C"/>
    <w:rsid w:val="00641886"/>
    <w:rsid w:val="00641E44"/>
    <w:rsid w:val="00641FEB"/>
    <w:rsid w:val="006422B1"/>
    <w:rsid w:val="0064609C"/>
    <w:rsid w:val="00652A47"/>
    <w:rsid w:val="006530A2"/>
    <w:rsid w:val="006545BD"/>
    <w:rsid w:val="00654AD3"/>
    <w:rsid w:val="00661832"/>
    <w:rsid w:val="00662BC4"/>
    <w:rsid w:val="00663D9D"/>
    <w:rsid w:val="00664809"/>
    <w:rsid w:val="00670384"/>
    <w:rsid w:val="00670C63"/>
    <w:rsid w:val="00670DB6"/>
    <w:rsid w:val="006711AE"/>
    <w:rsid w:val="00672EF1"/>
    <w:rsid w:val="00673774"/>
    <w:rsid w:val="006802D1"/>
    <w:rsid w:val="006817B6"/>
    <w:rsid w:val="006819F5"/>
    <w:rsid w:val="00681B81"/>
    <w:rsid w:val="006837BB"/>
    <w:rsid w:val="006845E6"/>
    <w:rsid w:val="00686F14"/>
    <w:rsid w:val="00687EEE"/>
    <w:rsid w:val="00691583"/>
    <w:rsid w:val="00692C22"/>
    <w:rsid w:val="00692C62"/>
    <w:rsid w:val="00694650"/>
    <w:rsid w:val="00694737"/>
    <w:rsid w:val="0069732F"/>
    <w:rsid w:val="00697948"/>
    <w:rsid w:val="00697DF0"/>
    <w:rsid w:val="006A0B6C"/>
    <w:rsid w:val="006A1513"/>
    <w:rsid w:val="006A2F14"/>
    <w:rsid w:val="006A4EA8"/>
    <w:rsid w:val="006A562A"/>
    <w:rsid w:val="006A6280"/>
    <w:rsid w:val="006A6A0A"/>
    <w:rsid w:val="006B27FA"/>
    <w:rsid w:val="006B290D"/>
    <w:rsid w:val="006B657B"/>
    <w:rsid w:val="006B66AD"/>
    <w:rsid w:val="006B6E7B"/>
    <w:rsid w:val="006C0DEC"/>
    <w:rsid w:val="006C30A0"/>
    <w:rsid w:val="006C52AF"/>
    <w:rsid w:val="006C6709"/>
    <w:rsid w:val="006C7C61"/>
    <w:rsid w:val="006D17C2"/>
    <w:rsid w:val="006D1EF1"/>
    <w:rsid w:val="006D247C"/>
    <w:rsid w:val="006D34EF"/>
    <w:rsid w:val="006D3D4B"/>
    <w:rsid w:val="006D6AB2"/>
    <w:rsid w:val="006E24CF"/>
    <w:rsid w:val="006E2654"/>
    <w:rsid w:val="006E4E30"/>
    <w:rsid w:val="006E5969"/>
    <w:rsid w:val="006E5FE3"/>
    <w:rsid w:val="006F0041"/>
    <w:rsid w:val="006F0FF8"/>
    <w:rsid w:val="006F1278"/>
    <w:rsid w:val="006F1854"/>
    <w:rsid w:val="006F1904"/>
    <w:rsid w:val="006F31DA"/>
    <w:rsid w:val="006F33EA"/>
    <w:rsid w:val="006F3709"/>
    <w:rsid w:val="006F414A"/>
    <w:rsid w:val="006F5DF2"/>
    <w:rsid w:val="006F6E66"/>
    <w:rsid w:val="00701E38"/>
    <w:rsid w:val="00703415"/>
    <w:rsid w:val="007036A9"/>
    <w:rsid w:val="00704938"/>
    <w:rsid w:val="007050B9"/>
    <w:rsid w:val="007067E1"/>
    <w:rsid w:val="00706FFD"/>
    <w:rsid w:val="00711142"/>
    <w:rsid w:val="007120A6"/>
    <w:rsid w:val="0071210A"/>
    <w:rsid w:val="00715C30"/>
    <w:rsid w:val="007219E3"/>
    <w:rsid w:val="007240F9"/>
    <w:rsid w:val="00726715"/>
    <w:rsid w:val="00730CCF"/>
    <w:rsid w:val="0074437A"/>
    <w:rsid w:val="007463D2"/>
    <w:rsid w:val="00750B50"/>
    <w:rsid w:val="007511C9"/>
    <w:rsid w:val="00752AA2"/>
    <w:rsid w:val="00752F4A"/>
    <w:rsid w:val="00753922"/>
    <w:rsid w:val="00755166"/>
    <w:rsid w:val="00762C1C"/>
    <w:rsid w:val="0076449F"/>
    <w:rsid w:val="00764765"/>
    <w:rsid w:val="00767C85"/>
    <w:rsid w:val="00770E24"/>
    <w:rsid w:val="007719BF"/>
    <w:rsid w:val="0077241A"/>
    <w:rsid w:val="0077610B"/>
    <w:rsid w:val="00780A3B"/>
    <w:rsid w:val="0078212C"/>
    <w:rsid w:val="007839CD"/>
    <w:rsid w:val="007854E0"/>
    <w:rsid w:val="0079155A"/>
    <w:rsid w:val="00793565"/>
    <w:rsid w:val="0079362C"/>
    <w:rsid w:val="00794E06"/>
    <w:rsid w:val="00794F33"/>
    <w:rsid w:val="00795425"/>
    <w:rsid w:val="007971AB"/>
    <w:rsid w:val="007A12D0"/>
    <w:rsid w:val="007A3F3C"/>
    <w:rsid w:val="007A4768"/>
    <w:rsid w:val="007A51F1"/>
    <w:rsid w:val="007A7D90"/>
    <w:rsid w:val="007B04F5"/>
    <w:rsid w:val="007B4AE8"/>
    <w:rsid w:val="007B68CC"/>
    <w:rsid w:val="007B7A43"/>
    <w:rsid w:val="007C18E6"/>
    <w:rsid w:val="007C25EA"/>
    <w:rsid w:val="007C45CE"/>
    <w:rsid w:val="007C56F4"/>
    <w:rsid w:val="007C5B23"/>
    <w:rsid w:val="007C67A4"/>
    <w:rsid w:val="007D01DF"/>
    <w:rsid w:val="007D0886"/>
    <w:rsid w:val="007D0F6E"/>
    <w:rsid w:val="007D4C02"/>
    <w:rsid w:val="007D528F"/>
    <w:rsid w:val="007D5DBC"/>
    <w:rsid w:val="007D5EBE"/>
    <w:rsid w:val="007E07A5"/>
    <w:rsid w:val="007E0802"/>
    <w:rsid w:val="007E4BAC"/>
    <w:rsid w:val="007E5C1F"/>
    <w:rsid w:val="007E673D"/>
    <w:rsid w:val="007E6E11"/>
    <w:rsid w:val="007E73AD"/>
    <w:rsid w:val="007E7BC1"/>
    <w:rsid w:val="007F1F50"/>
    <w:rsid w:val="007F2494"/>
    <w:rsid w:val="007F49A4"/>
    <w:rsid w:val="00801BE7"/>
    <w:rsid w:val="0080231E"/>
    <w:rsid w:val="0080273D"/>
    <w:rsid w:val="008030A9"/>
    <w:rsid w:val="008049C6"/>
    <w:rsid w:val="00810F94"/>
    <w:rsid w:val="00823952"/>
    <w:rsid w:val="008250C0"/>
    <w:rsid w:val="008253D8"/>
    <w:rsid w:val="00825797"/>
    <w:rsid w:val="008272BE"/>
    <w:rsid w:val="0082773F"/>
    <w:rsid w:val="00830BB5"/>
    <w:rsid w:val="0083235A"/>
    <w:rsid w:val="00832A84"/>
    <w:rsid w:val="008349EB"/>
    <w:rsid w:val="00835242"/>
    <w:rsid w:val="00836437"/>
    <w:rsid w:val="00840108"/>
    <w:rsid w:val="00843447"/>
    <w:rsid w:val="008437EA"/>
    <w:rsid w:val="00844366"/>
    <w:rsid w:val="00845807"/>
    <w:rsid w:val="00845938"/>
    <w:rsid w:val="00846B63"/>
    <w:rsid w:val="00847AB6"/>
    <w:rsid w:val="00851181"/>
    <w:rsid w:val="0085597D"/>
    <w:rsid w:val="00855BD2"/>
    <w:rsid w:val="008611AB"/>
    <w:rsid w:val="008614F1"/>
    <w:rsid w:val="00863236"/>
    <w:rsid w:val="008664D0"/>
    <w:rsid w:val="00866B60"/>
    <w:rsid w:val="00870002"/>
    <w:rsid w:val="00870563"/>
    <w:rsid w:val="008705DD"/>
    <w:rsid w:val="008727A4"/>
    <w:rsid w:val="0087287D"/>
    <w:rsid w:val="008735C4"/>
    <w:rsid w:val="008736E6"/>
    <w:rsid w:val="008737B1"/>
    <w:rsid w:val="008817ED"/>
    <w:rsid w:val="008821A3"/>
    <w:rsid w:val="008826DA"/>
    <w:rsid w:val="008872B2"/>
    <w:rsid w:val="00890A67"/>
    <w:rsid w:val="008A0D85"/>
    <w:rsid w:val="008A0EA1"/>
    <w:rsid w:val="008A2B43"/>
    <w:rsid w:val="008A4443"/>
    <w:rsid w:val="008A4BA3"/>
    <w:rsid w:val="008A7ECB"/>
    <w:rsid w:val="008B0175"/>
    <w:rsid w:val="008B37E2"/>
    <w:rsid w:val="008B3ECB"/>
    <w:rsid w:val="008B52D5"/>
    <w:rsid w:val="008B5FA7"/>
    <w:rsid w:val="008B7B69"/>
    <w:rsid w:val="008C0CFA"/>
    <w:rsid w:val="008C17D4"/>
    <w:rsid w:val="008C234A"/>
    <w:rsid w:val="008C39F2"/>
    <w:rsid w:val="008C4395"/>
    <w:rsid w:val="008C4CD4"/>
    <w:rsid w:val="008C7EF9"/>
    <w:rsid w:val="008D00B4"/>
    <w:rsid w:val="008D7817"/>
    <w:rsid w:val="008E1914"/>
    <w:rsid w:val="008E2B88"/>
    <w:rsid w:val="008E3647"/>
    <w:rsid w:val="008E5D2F"/>
    <w:rsid w:val="008F03F8"/>
    <w:rsid w:val="008F257D"/>
    <w:rsid w:val="008F2A79"/>
    <w:rsid w:val="008F44D5"/>
    <w:rsid w:val="008F5160"/>
    <w:rsid w:val="008F7446"/>
    <w:rsid w:val="008F75BA"/>
    <w:rsid w:val="008F778C"/>
    <w:rsid w:val="009006EF"/>
    <w:rsid w:val="00900A20"/>
    <w:rsid w:val="00900CA9"/>
    <w:rsid w:val="00901105"/>
    <w:rsid w:val="00910303"/>
    <w:rsid w:val="00913F72"/>
    <w:rsid w:val="0091489C"/>
    <w:rsid w:val="00916883"/>
    <w:rsid w:val="009176E1"/>
    <w:rsid w:val="00920526"/>
    <w:rsid w:val="00922411"/>
    <w:rsid w:val="00924ABE"/>
    <w:rsid w:val="00931E2C"/>
    <w:rsid w:val="009320E4"/>
    <w:rsid w:val="00932A66"/>
    <w:rsid w:val="0093324C"/>
    <w:rsid w:val="00934182"/>
    <w:rsid w:val="0093587E"/>
    <w:rsid w:val="00941E7B"/>
    <w:rsid w:val="009422AF"/>
    <w:rsid w:val="0095243B"/>
    <w:rsid w:val="0095310D"/>
    <w:rsid w:val="00953AC4"/>
    <w:rsid w:val="00954B55"/>
    <w:rsid w:val="00955C5D"/>
    <w:rsid w:val="00956539"/>
    <w:rsid w:val="00957141"/>
    <w:rsid w:val="00961397"/>
    <w:rsid w:val="009614D0"/>
    <w:rsid w:val="0096206D"/>
    <w:rsid w:val="009707A2"/>
    <w:rsid w:val="0097104F"/>
    <w:rsid w:val="00971C0B"/>
    <w:rsid w:val="00973B8F"/>
    <w:rsid w:val="009747D4"/>
    <w:rsid w:val="00974FF2"/>
    <w:rsid w:val="00976AE7"/>
    <w:rsid w:val="00981C10"/>
    <w:rsid w:val="0098215D"/>
    <w:rsid w:val="009827AB"/>
    <w:rsid w:val="00986FC6"/>
    <w:rsid w:val="0099120D"/>
    <w:rsid w:val="00992DE5"/>
    <w:rsid w:val="00996065"/>
    <w:rsid w:val="00996983"/>
    <w:rsid w:val="009A0247"/>
    <w:rsid w:val="009A3C41"/>
    <w:rsid w:val="009A4714"/>
    <w:rsid w:val="009A4B44"/>
    <w:rsid w:val="009A5F77"/>
    <w:rsid w:val="009A63DF"/>
    <w:rsid w:val="009A66A4"/>
    <w:rsid w:val="009A6C0A"/>
    <w:rsid w:val="009B2B94"/>
    <w:rsid w:val="009B2D95"/>
    <w:rsid w:val="009B2F93"/>
    <w:rsid w:val="009B354A"/>
    <w:rsid w:val="009B3F2B"/>
    <w:rsid w:val="009B4900"/>
    <w:rsid w:val="009B4E9D"/>
    <w:rsid w:val="009B52CE"/>
    <w:rsid w:val="009B5C73"/>
    <w:rsid w:val="009C0DF5"/>
    <w:rsid w:val="009C0FF2"/>
    <w:rsid w:val="009C2C7D"/>
    <w:rsid w:val="009C5761"/>
    <w:rsid w:val="009C65BB"/>
    <w:rsid w:val="009C711E"/>
    <w:rsid w:val="009D3C57"/>
    <w:rsid w:val="009D3DC3"/>
    <w:rsid w:val="009D4675"/>
    <w:rsid w:val="009D4F70"/>
    <w:rsid w:val="009D62AF"/>
    <w:rsid w:val="009D69E6"/>
    <w:rsid w:val="009D789A"/>
    <w:rsid w:val="009E01F2"/>
    <w:rsid w:val="009E0B81"/>
    <w:rsid w:val="009E1301"/>
    <w:rsid w:val="009E66A7"/>
    <w:rsid w:val="009E6F0F"/>
    <w:rsid w:val="009E7382"/>
    <w:rsid w:val="009F0AE7"/>
    <w:rsid w:val="009F0B29"/>
    <w:rsid w:val="009F2BA9"/>
    <w:rsid w:val="009F3376"/>
    <w:rsid w:val="009F7AD1"/>
    <w:rsid w:val="009F7BD4"/>
    <w:rsid w:val="00A00A92"/>
    <w:rsid w:val="00A0378D"/>
    <w:rsid w:val="00A03EC8"/>
    <w:rsid w:val="00A04E7F"/>
    <w:rsid w:val="00A061E0"/>
    <w:rsid w:val="00A06321"/>
    <w:rsid w:val="00A07278"/>
    <w:rsid w:val="00A1025D"/>
    <w:rsid w:val="00A1103D"/>
    <w:rsid w:val="00A128E8"/>
    <w:rsid w:val="00A16116"/>
    <w:rsid w:val="00A1775D"/>
    <w:rsid w:val="00A24C9F"/>
    <w:rsid w:val="00A24EB6"/>
    <w:rsid w:val="00A252C3"/>
    <w:rsid w:val="00A25352"/>
    <w:rsid w:val="00A25487"/>
    <w:rsid w:val="00A25A1E"/>
    <w:rsid w:val="00A25B01"/>
    <w:rsid w:val="00A30C78"/>
    <w:rsid w:val="00A34797"/>
    <w:rsid w:val="00A41025"/>
    <w:rsid w:val="00A4195B"/>
    <w:rsid w:val="00A4199E"/>
    <w:rsid w:val="00A449CB"/>
    <w:rsid w:val="00A45009"/>
    <w:rsid w:val="00A50264"/>
    <w:rsid w:val="00A52F81"/>
    <w:rsid w:val="00A532BF"/>
    <w:rsid w:val="00A5364D"/>
    <w:rsid w:val="00A53BA9"/>
    <w:rsid w:val="00A54AFD"/>
    <w:rsid w:val="00A563D2"/>
    <w:rsid w:val="00A62D08"/>
    <w:rsid w:val="00A656CC"/>
    <w:rsid w:val="00A70627"/>
    <w:rsid w:val="00A711F6"/>
    <w:rsid w:val="00A7172B"/>
    <w:rsid w:val="00A74766"/>
    <w:rsid w:val="00A81137"/>
    <w:rsid w:val="00A81255"/>
    <w:rsid w:val="00A81475"/>
    <w:rsid w:val="00A83DB5"/>
    <w:rsid w:val="00A842B8"/>
    <w:rsid w:val="00A84940"/>
    <w:rsid w:val="00A90933"/>
    <w:rsid w:val="00A93F9B"/>
    <w:rsid w:val="00A9593D"/>
    <w:rsid w:val="00A96FDC"/>
    <w:rsid w:val="00AA21F7"/>
    <w:rsid w:val="00AA3435"/>
    <w:rsid w:val="00AA3B77"/>
    <w:rsid w:val="00AB1ACC"/>
    <w:rsid w:val="00AB2520"/>
    <w:rsid w:val="00AB2C6A"/>
    <w:rsid w:val="00AB2DFE"/>
    <w:rsid w:val="00AB63EF"/>
    <w:rsid w:val="00AB7401"/>
    <w:rsid w:val="00AB758E"/>
    <w:rsid w:val="00AC2808"/>
    <w:rsid w:val="00AC37BB"/>
    <w:rsid w:val="00AC70C0"/>
    <w:rsid w:val="00AD0F13"/>
    <w:rsid w:val="00AD1AB7"/>
    <w:rsid w:val="00AD2F92"/>
    <w:rsid w:val="00AD3D91"/>
    <w:rsid w:val="00AD4A1E"/>
    <w:rsid w:val="00AD5859"/>
    <w:rsid w:val="00AD5A2C"/>
    <w:rsid w:val="00AD5F11"/>
    <w:rsid w:val="00AD62CB"/>
    <w:rsid w:val="00AE0BAB"/>
    <w:rsid w:val="00AE0EEA"/>
    <w:rsid w:val="00AE1582"/>
    <w:rsid w:val="00AE1635"/>
    <w:rsid w:val="00AE4CBE"/>
    <w:rsid w:val="00AE59C4"/>
    <w:rsid w:val="00AF1DE2"/>
    <w:rsid w:val="00AF2E40"/>
    <w:rsid w:val="00AF47DA"/>
    <w:rsid w:val="00AF5B51"/>
    <w:rsid w:val="00AF6B28"/>
    <w:rsid w:val="00B01FB8"/>
    <w:rsid w:val="00B03634"/>
    <w:rsid w:val="00B03C22"/>
    <w:rsid w:val="00B04F33"/>
    <w:rsid w:val="00B05DA6"/>
    <w:rsid w:val="00B10085"/>
    <w:rsid w:val="00B10614"/>
    <w:rsid w:val="00B14F53"/>
    <w:rsid w:val="00B15882"/>
    <w:rsid w:val="00B16F72"/>
    <w:rsid w:val="00B20AE3"/>
    <w:rsid w:val="00B24B16"/>
    <w:rsid w:val="00B255AA"/>
    <w:rsid w:val="00B26E96"/>
    <w:rsid w:val="00B30022"/>
    <w:rsid w:val="00B30372"/>
    <w:rsid w:val="00B315D9"/>
    <w:rsid w:val="00B35C9E"/>
    <w:rsid w:val="00B376A9"/>
    <w:rsid w:val="00B40531"/>
    <w:rsid w:val="00B40CC7"/>
    <w:rsid w:val="00B4185E"/>
    <w:rsid w:val="00B41C53"/>
    <w:rsid w:val="00B4372E"/>
    <w:rsid w:val="00B43A7A"/>
    <w:rsid w:val="00B43A83"/>
    <w:rsid w:val="00B468F0"/>
    <w:rsid w:val="00B510F4"/>
    <w:rsid w:val="00B51452"/>
    <w:rsid w:val="00B52867"/>
    <w:rsid w:val="00B538FB"/>
    <w:rsid w:val="00B53D39"/>
    <w:rsid w:val="00B56EB4"/>
    <w:rsid w:val="00B57D29"/>
    <w:rsid w:val="00B62FCC"/>
    <w:rsid w:val="00B6352F"/>
    <w:rsid w:val="00B63E5D"/>
    <w:rsid w:val="00B65F90"/>
    <w:rsid w:val="00B665E8"/>
    <w:rsid w:val="00B66B1D"/>
    <w:rsid w:val="00B66B84"/>
    <w:rsid w:val="00B73716"/>
    <w:rsid w:val="00B74FC7"/>
    <w:rsid w:val="00B76DA9"/>
    <w:rsid w:val="00B82246"/>
    <w:rsid w:val="00B8237B"/>
    <w:rsid w:val="00B83386"/>
    <w:rsid w:val="00B83443"/>
    <w:rsid w:val="00B91193"/>
    <w:rsid w:val="00B91ADF"/>
    <w:rsid w:val="00B91D8E"/>
    <w:rsid w:val="00B92975"/>
    <w:rsid w:val="00B92E6D"/>
    <w:rsid w:val="00B94D1E"/>
    <w:rsid w:val="00B95D03"/>
    <w:rsid w:val="00B965E9"/>
    <w:rsid w:val="00B96614"/>
    <w:rsid w:val="00BA1F29"/>
    <w:rsid w:val="00BA3749"/>
    <w:rsid w:val="00BA3B0D"/>
    <w:rsid w:val="00BA3D92"/>
    <w:rsid w:val="00BA5B34"/>
    <w:rsid w:val="00BA6D66"/>
    <w:rsid w:val="00BB09D1"/>
    <w:rsid w:val="00BB23A4"/>
    <w:rsid w:val="00BB45C7"/>
    <w:rsid w:val="00BB5385"/>
    <w:rsid w:val="00BB6237"/>
    <w:rsid w:val="00BB65BB"/>
    <w:rsid w:val="00BC0B51"/>
    <w:rsid w:val="00BC10A2"/>
    <w:rsid w:val="00BC16B2"/>
    <w:rsid w:val="00BC2A50"/>
    <w:rsid w:val="00BC34B6"/>
    <w:rsid w:val="00BC4165"/>
    <w:rsid w:val="00BC4825"/>
    <w:rsid w:val="00BC5109"/>
    <w:rsid w:val="00BC7CF4"/>
    <w:rsid w:val="00BD113B"/>
    <w:rsid w:val="00BD13FA"/>
    <w:rsid w:val="00BD2567"/>
    <w:rsid w:val="00BD3021"/>
    <w:rsid w:val="00BD4BD2"/>
    <w:rsid w:val="00BD5A29"/>
    <w:rsid w:val="00BD7250"/>
    <w:rsid w:val="00BD7A1A"/>
    <w:rsid w:val="00BE157A"/>
    <w:rsid w:val="00BE16CD"/>
    <w:rsid w:val="00BE236F"/>
    <w:rsid w:val="00BE273C"/>
    <w:rsid w:val="00BE3BC9"/>
    <w:rsid w:val="00BE6E18"/>
    <w:rsid w:val="00BF0451"/>
    <w:rsid w:val="00BF0EFE"/>
    <w:rsid w:val="00BF2534"/>
    <w:rsid w:val="00BF3BB8"/>
    <w:rsid w:val="00BF42BF"/>
    <w:rsid w:val="00BF646B"/>
    <w:rsid w:val="00C0265F"/>
    <w:rsid w:val="00C029A9"/>
    <w:rsid w:val="00C05175"/>
    <w:rsid w:val="00C10C15"/>
    <w:rsid w:val="00C111AC"/>
    <w:rsid w:val="00C13B5B"/>
    <w:rsid w:val="00C13DB5"/>
    <w:rsid w:val="00C13E25"/>
    <w:rsid w:val="00C1462F"/>
    <w:rsid w:val="00C15206"/>
    <w:rsid w:val="00C15E3D"/>
    <w:rsid w:val="00C16EF3"/>
    <w:rsid w:val="00C213C8"/>
    <w:rsid w:val="00C2158C"/>
    <w:rsid w:val="00C2239B"/>
    <w:rsid w:val="00C237FE"/>
    <w:rsid w:val="00C24170"/>
    <w:rsid w:val="00C24637"/>
    <w:rsid w:val="00C247E1"/>
    <w:rsid w:val="00C25450"/>
    <w:rsid w:val="00C259F3"/>
    <w:rsid w:val="00C30473"/>
    <w:rsid w:val="00C30554"/>
    <w:rsid w:val="00C31451"/>
    <w:rsid w:val="00C31DBD"/>
    <w:rsid w:val="00C344AB"/>
    <w:rsid w:val="00C347F5"/>
    <w:rsid w:val="00C35096"/>
    <w:rsid w:val="00C35B12"/>
    <w:rsid w:val="00C36661"/>
    <w:rsid w:val="00C377E7"/>
    <w:rsid w:val="00C378B4"/>
    <w:rsid w:val="00C40250"/>
    <w:rsid w:val="00C415CC"/>
    <w:rsid w:val="00C421CB"/>
    <w:rsid w:val="00C4358E"/>
    <w:rsid w:val="00C43EA3"/>
    <w:rsid w:val="00C47994"/>
    <w:rsid w:val="00C506D2"/>
    <w:rsid w:val="00C50D39"/>
    <w:rsid w:val="00C55B72"/>
    <w:rsid w:val="00C56DB7"/>
    <w:rsid w:val="00C57FD5"/>
    <w:rsid w:val="00C63848"/>
    <w:rsid w:val="00C63A56"/>
    <w:rsid w:val="00C677DF"/>
    <w:rsid w:val="00C67928"/>
    <w:rsid w:val="00C70256"/>
    <w:rsid w:val="00C73F03"/>
    <w:rsid w:val="00C74E97"/>
    <w:rsid w:val="00C8143E"/>
    <w:rsid w:val="00C81F9E"/>
    <w:rsid w:val="00C85EA5"/>
    <w:rsid w:val="00C85EA7"/>
    <w:rsid w:val="00C86B9F"/>
    <w:rsid w:val="00C8762A"/>
    <w:rsid w:val="00C90177"/>
    <w:rsid w:val="00C924A8"/>
    <w:rsid w:val="00C956A4"/>
    <w:rsid w:val="00CA0D0C"/>
    <w:rsid w:val="00CA3DBB"/>
    <w:rsid w:val="00CA58A8"/>
    <w:rsid w:val="00CA7A1D"/>
    <w:rsid w:val="00CA7E48"/>
    <w:rsid w:val="00CB08EC"/>
    <w:rsid w:val="00CB247D"/>
    <w:rsid w:val="00CB26BF"/>
    <w:rsid w:val="00CB5B2C"/>
    <w:rsid w:val="00CB772A"/>
    <w:rsid w:val="00CC336B"/>
    <w:rsid w:val="00CC42FB"/>
    <w:rsid w:val="00CC4869"/>
    <w:rsid w:val="00CC5252"/>
    <w:rsid w:val="00CC6F1E"/>
    <w:rsid w:val="00CC7462"/>
    <w:rsid w:val="00CD09DD"/>
    <w:rsid w:val="00CD1639"/>
    <w:rsid w:val="00CD1B84"/>
    <w:rsid w:val="00CD1B99"/>
    <w:rsid w:val="00CD2D7D"/>
    <w:rsid w:val="00CD30D1"/>
    <w:rsid w:val="00CD37D5"/>
    <w:rsid w:val="00CD38E2"/>
    <w:rsid w:val="00CD48EF"/>
    <w:rsid w:val="00CD52A5"/>
    <w:rsid w:val="00CD65F0"/>
    <w:rsid w:val="00CD6620"/>
    <w:rsid w:val="00CD68D8"/>
    <w:rsid w:val="00CD73D7"/>
    <w:rsid w:val="00CD7DE5"/>
    <w:rsid w:val="00CE071F"/>
    <w:rsid w:val="00CE1567"/>
    <w:rsid w:val="00CE427F"/>
    <w:rsid w:val="00CE6D74"/>
    <w:rsid w:val="00CF0045"/>
    <w:rsid w:val="00CF050B"/>
    <w:rsid w:val="00CF06EB"/>
    <w:rsid w:val="00CF1AC9"/>
    <w:rsid w:val="00CF1E56"/>
    <w:rsid w:val="00CF2327"/>
    <w:rsid w:val="00CF46CA"/>
    <w:rsid w:val="00CF4908"/>
    <w:rsid w:val="00CF4923"/>
    <w:rsid w:val="00CF6C1E"/>
    <w:rsid w:val="00D00358"/>
    <w:rsid w:val="00D019D5"/>
    <w:rsid w:val="00D01A17"/>
    <w:rsid w:val="00D01EFD"/>
    <w:rsid w:val="00D02764"/>
    <w:rsid w:val="00D0348F"/>
    <w:rsid w:val="00D03493"/>
    <w:rsid w:val="00D04F84"/>
    <w:rsid w:val="00D05BDB"/>
    <w:rsid w:val="00D07265"/>
    <w:rsid w:val="00D16278"/>
    <w:rsid w:val="00D20BC0"/>
    <w:rsid w:val="00D2359B"/>
    <w:rsid w:val="00D23F13"/>
    <w:rsid w:val="00D2478A"/>
    <w:rsid w:val="00D25BB0"/>
    <w:rsid w:val="00D308F1"/>
    <w:rsid w:val="00D3329A"/>
    <w:rsid w:val="00D357E9"/>
    <w:rsid w:val="00D3641B"/>
    <w:rsid w:val="00D41126"/>
    <w:rsid w:val="00D42308"/>
    <w:rsid w:val="00D43B41"/>
    <w:rsid w:val="00D44B0C"/>
    <w:rsid w:val="00D459FA"/>
    <w:rsid w:val="00D45D8C"/>
    <w:rsid w:val="00D46E90"/>
    <w:rsid w:val="00D4723A"/>
    <w:rsid w:val="00D47C8D"/>
    <w:rsid w:val="00D52B4C"/>
    <w:rsid w:val="00D54EDB"/>
    <w:rsid w:val="00D55999"/>
    <w:rsid w:val="00D566ED"/>
    <w:rsid w:val="00D60855"/>
    <w:rsid w:val="00D60E23"/>
    <w:rsid w:val="00D60EC2"/>
    <w:rsid w:val="00D6132E"/>
    <w:rsid w:val="00D62561"/>
    <w:rsid w:val="00D64DB5"/>
    <w:rsid w:val="00D66FFB"/>
    <w:rsid w:val="00D67CE5"/>
    <w:rsid w:val="00D72A63"/>
    <w:rsid w:val="00D72D36"/>
    <w:rsid w:val="00D73EDD"/>
    <w:rsid w:val="00D77237"/>
    <w:rsid w:val="00D80771"/>
    <w:rsid w:val="00D812B4"/>
    <w:rsid w:val="00D836AA"/>
    <w:rsid w:val="00D850F7"/>
    <w:rsid w:val="00D8542A"/>
    <w:rsid w:val="00D85B6C"/>
    <w:rsid w:val="00D86146"/>
    <w:rsid w:val="00D862C6"/>
    <w:rsid w:val="00D86A20"/>
    <w:rsid w:val="00D87E83"/>
    <w:rsid w:val="00D936ED"/>
    <w:rsid w:val="00D943F0"/>
    <w:rsid w:val="00D957B9"/>
    <w:rsid w:val="00D96683"/>
    <w:rsid w:val="00DA6EEF"/>
    <w:rsid w:val="00DA77C5"/>
    <w:rsid w:val="00DB0A61"/>
    <w:rsid w:val="00DB11B0"/>
    <w:rsid w:val="00DB2A71"/>
    <w:rsid w:val="00DB2B43"/>
    <w:rsid w:val="00DB4B89"/>
    <w:rsid w:val="00DB5B8F"/>
    <w:rsid w:val="00DB6E1C"/>
    <w:rsid w:val="00DC3494"/>
    <w:rsid w:val="00DC3FB0"/>
    <w:rsid w:val="00DC4AF2"/>
    <w:rsid w:val="00DC7F39"/>
    <w:rsid w:val="00DD0071"/>
    <w:rsid w:val="00DD0D0F"/>
    <w:rsid w:val="00DD3E0C"/>
    <w:rsid w:val="00DD4D0B"/>
    <w:rsid w:val="00DD60D4"/>
    <w:rsid w:val="00DD6EBF"/>
    <w:rsid w:val="00DD740E"/>
    <w:rsid w:val="00DD7FDD"/>
    <w:rsid w:val="00DE60A2"/>
    <w:rsid w:val="00DE6792"/>
    <w:rsid w:val="00DF01B5"/>
    <w:rsid w:val="00DF1DB8"/>
    <w:rsid w:val="00DF23A6"/>
    <w:rsid w:val="00DF2765"/>
    <w:rsid w:val="00DF2F4F"/>
    <w:rsid w:val="00DF4682"/>
    <w:rsid w:val="00DF4D98"/>
    <w:rsid w:val="00DF7116"/>
    <w:rsid w:val="00E00845"/>
    <w:rsid w:val="00E0176D"/>
    <w:rsid w:val="00E04D6E"/>
    <w:rsid w:val="00E064C8"/>
    <w:rsid w:val="00E06660"/>
    <w:rsid w:val="00E068F8"/>
    <w:rsid w:val="00E06A37"/>
    <w:rsid w:val="00E105D9"/>
    <w:rsid w:val="00E11123"/>
    <w:rsid w:val="00E113D5"/>
    <w:rsid w:val="00E14AEE"/>
    <w:rsid w:val="00E15F98"/>
    <w:rsid w:val="00E161D8"/>
    <w:rsid w:val="00E16882"/>
    <w:rsid w:val="00E16FCF"/>
    <w:rsid w:val="00E1728F"/>
    <w:rsid w:val="00E173D3"/>
    <w:rsid w:val="00E17BE1"/>
    <w:rsid w:val="00E20B9E"/>
    <w:rsid w:val="00E220D9"/>
    <w:rsid w:val="00E231BD"/>
    <w:rsid w:val="00E2380E"/>
    <w:rsid w:val="00E25EAD"/>
    <w:rsid w:val="00E270F3"/>
    <w:rsid w:val="00E30332"/>
    <w:rsid w:val="00E3079A"/>
    <w:rsid w:val="00E3223F"/>
    <w:rsid w:val="00E34761"/>
    <w:rsid w:val="00E357EB"/>
    <w:rsid w:val="00E3732E"/>
    <w:rsid w:val="00E37E91"/>
    <w:rsid w:val="00E41AE4"/>
    <w:rsid w:val="00E45C27"/>
    <w:rsid w:val="00E462B2"/>
    <w:rsid w:val="00E53E56"/>
    <w:rsid w:val="00E5424D"/>
    <w:rsid w:val="00E55A47"/>
    <w:rsid w:val="00E56696"/>
    <w:rsid w:val="00E606AC"/>
    <w:rsid w:val="00E62B48"/>
    <w:rsid w:val="00E62EE3"/>
    <w:rsid w:val="00E62F2D"/>
    <w:rsid w:val="00E66367"/>
    <w:rsid w:val="00E71B94"/>
    <w:rsid w:val="00E71F14"/>
    <w:rsid w:val="00E724EC"/>
    <w:rsid w:val="00E73EC9"/>
    <w:rsid w:val="00E74DED"/>
    <w:rsid w:val="00E76D0B"/>
    <w:rsid w:val="00E82969"/>
    <w:rsid w:val="00E8413A"/>
    <w:rsid w:val="00E84439"/>
    <w:rsid w:val="00E9371C"/>
    <w:rsid w:val="00E9403B"/>
    <w:rsid w:val="00E947C2"/>
    <w:rsid w:val="00E959E9"/>
    <w:rsid w:val="00E95B4F"/>
    <w:rsid w:val="00E9622F"/>
    <w:rsid w:val="00E97379"/>
    <w:rsid w:val="00E97980"/>
    <w:rsid w:val="00E97C4A"/>
    <w:rsid w:val="00EA2153"/>
    <w:rsid w:val="00EA2428"/>
    <w:rsid w:val="00EA2CB9"/>
    <w:rsid w:val="00EA317B"/>
    <w:rsid w:val="00EA4FB0"/>
    <w:rsid w:val="00EA6B5A"/>
    <w:rsid w:val="00EA7C94"/>
    <w:rsid w:val="00EB073E"/>
    <w:rsid w:val="00EB0EB4"/>
    <w:rsid w:val="00EB104E"/>
    <w:rsid w:val="00EB1D73"/>
    <w:rsid w:val="00EB2D3B"/>
    <w:rsid w:val="00EB6597"/>
    <w:rsid w:val="00EB7BB2"/>
    <w:rsid w:val="00EC0B84"/>
    <w:rsid w:val="00EC137C"/>
    <w:rsid w:val="00EC1BC7"/>
    <w:rsid w:val="00EC22E1"/>
    <w:rsid w:val="00EC2FBD"/>
    <w:rsid w:val="00EC6F2A"/>
    <w:rsid w:val="00ED122C"/>
    <w:rsid w:val="00ED2A85"/>
    <w:rsid w:val="00ED38AA"/>
    <w:rsid w:val="00ED38F2"/>
    <w:rsid w:val="00ED6D79"/>
    <w:rsid w:val="00EE0B13"/>
    <w:rsid w:val="00EE0C17"/>
    <w:rsid w:val="00EE12A2"/>
    <w:rsid w:val="00EE3F77"/>
    <w:rsid w:val="00EE5CC5"/>
    <w:rsid w:val="00EE78A4"/>
    <w:rsid w:val="00EF28CE"/>
    <w:rsid w:val="00EF5E43"/>
    <w:rsid w:val="00EF68DF"/>
    <w:rsid w:val="00F01AD7"/>
    <w:rsid w:val="00F02218"/>
    <w:rsid w:val="00F039B4"/>
    <w:rsid w:val="00F065E1"/>
    <w:rsid w:val="00F0663A"/>
    <w:rsid w:val="00F06C32"/>
    <w:rsid w:val="00F107BD"/>
    <w:rsid w:val="00F13D42"/>
    <w:rsid w:val="00F20459"/>
    <w:rsid w:val="00F2273E"/>
    <w:rsid w:val="00F22D9A"/>
    <w:rsid w:val="00F24D59"/>
    <w:rsid w:val="00F25687"/>
    <w:rsid w:val="00F30123"/>
    <w:rsid w:val="00F30839"/>
    <w:rsid w:val="00F32371"/>
    <w:rsid w:val="00F33B71"/>
    <w:rsid w:val="00F34256"/>
    <w:rsid w:val="00F35885"/>
    <w:rsid w:val="00F41E77"/>
    <w:rsid w:val="00F424E4"/>
    <w:rsid w:val="00F442D8"/>
    <w:rsid w:val="00F453BF"/>
    <w:rsid w:val="00F46612"/>
    <w:rsid w:val="00F46D0C"/>
    <w:rsid w:val="00F473E7"/>
    <w:rsid w:val="00F50182"/>
    <w:rsid w:val="00F5126B"/>
    <w:rsid w:val="00F52B61"/>
    <w:rsid w:val="00F531BC"/>
    <w:rsid w:val="00F54AE4"/>
    <w:rsid w:val="00F55238"/>
    <w:rsid w:val="00F56815"/>
    <w:rsid w:val="00F60CD4"/>
    <w:rsid w:val="00F63584"/>
    <w:rsid w:val="00F63A2E"/>
    <w:rsid w:val="00F6502A"/>
    <w:rsid w:val="00F65527"/>
    <w:rsid w:val="00F66548"/>
    <w:rsid w:val="00F6717F"/>
    <w:rsid w:val="00F7485C"/>
    <w:rsid w:val="00F74ECD"/>
    <w:rsid w:val="00F7593A"/>
    <w:rsid w:val="00F76C92"/>
    <w:rsid w:val="00F80F4A"/>
    <w:rsid w:val="00F81484"/>
    <w:rsid w:val="00F84793"/>
    <w:rsid w:val="00F849C8"/>
    <w:rsid w:val="00F8679C"/>
    <w:rsid w:val="00F86F63"/>
    <w:rsid w:val="00F8753D"/>
    <w:rsid w:val="00F915B5"/>
    <w:rsid w:val="00F926A0"/>
    <w:rsid w:val="00F9718B"/>
    <w:rsid w:val="00F972F7"/>
    <w:rsid w:val="00FA745A"/>
    <w:rsid w:val="00FA7A1B"/>
    <w:rsid w:val="00FB02AD"/>
    <w:rsid w:val="00FB48FC"/>
    <w:rsid w:val="00FB5D70"/>
    <w:rsid w:val="00FB7FF6"/>
    <w:rsid w:val="00FC1F7D"/>
    <w:rsid w:val="00FC34FB"/>
    <w:rsid w:val="00FC49BB"/>
    <w:rsid w:val="00FC5242"/>
    <w:rsid w:val="00FC55A0"/>
    <w:rsid w:val="00FC696D"/>
    <w:rsid w:val="00FC6A64"/>
    <w:rsid w:val="00FC7737"/>
    <w:rsid w:val="00FD3531"/>
    <w:rsid w:val="00FD3EF3"/>
    <w:rsid w:val="00FD4142"/>
    <w:rsid w:val="00FD51C5"/>
    <w:rsid w:val="00FE032A"/>
    <w:rsid w:val="00FE23E6"/>
    <w:rsid w:val="00FE23ED"/>
    <w:rsid w:val="00FE4793"/>
    <w:rsid w:val="00FE7B21"/>
    <w:rsid w:val="00FF0CE6"/>
    <w:rsid w:val="00FF1D92"/>
    <w:rsid w:val="00FF2E68"/>
    <w:rsid w:val="00FF4D2F"/>
    <w:rsid w:val="00FF51D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1E10E"/>
  <w15:docId w15:val="{BEE7B2C4-5269-431C-A0BF-42EECD88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E56"/>
    <w:rPr>
      <w:rFonts w:ascii="Arial" w:hAnsi="Arial"/>
      <w:lang w:val="sl-SI" w:eastAsia="en-US"/>
    </w:rPr>
  </w:style>
  <w:style w:type="paragraph" w:styleId="Heading1">
    <w:name w:val="heading 1"/>
    <w:basedOn w:val="Normal"/>
    <w:next w:val="Normal"/>
    <w:qFormat/>
    <w:rsid w:val="001E500F"/>
    <w:pPr>
      <w:keepNext/>
      <w:spacing w:after="360"/>
      <w:outlineLvl w:val="0"/>
    </w:pPr>
    <w:rPr>
      <w:b/>
      <w:kern w:val="28"/>
    </w:rPr>
  </w:style>
  <w:style w:type="paragraph" w:styleId="Heading2">
    <w:name w:val="heading 2"/>
    <w:basedOn w:val="Normal"/>
    <w:next w:val="Normal"/>
    <w:qFormat/>
    <w:rsid w:val="001E500F"/>
    <w:pPr>
      <w:keepNext/>
      <w:spacing w:after="360"/>
      <w:outlineLvl w:val="1"/>
    </w:pPr>
    <w:rPr>
      <w:b/>
    </w:rPr>
  </w:style>
  <w:style w:type="paragraph" w:styleId="Heading3">
    <w:name w:val="heading 3"/>
    <w:basedOn w:val="Normal"/>
    <w:next w:val="Normal"/>
    <w:qFormat/>
    <w:rsid w:val="001E500F"/>
    <w:pPr>
      <w:keepNext/>
      <w:spacing w:before="240" w:after="60"/>
      <w:outlineLvl w:val="2"/>
    </w:pPr>
  </w:style>
  <w:style w:type="paragraph" w:styleId="Heading4">
    <w:name w:val="heading 4"/>
    <w:basedOn w:val="Normal"/>
    <w:next w:val="Normal"/>
    <w:qFormat/>
    <w:rsid w:val="001E500F"/>
    <w:pPr>
      <w:keepNext/>
      <w:spacing w:before="240" w:after="60"/>
      <w:outlineLvl w:val="3"/>
    </w:pPr>
  </w:style>
  <w:style w:type="paragraph" w:styleId="Heading5">
    <w:name w:val="heading 5"/>
    <w:basedOn w:val="Normal"/>
    <w:next w:val="Normal"/>
    <w:qFormat/>
    <w:rsid w:val="001E500F"/>
    <w:pPr>
      <w:spacing w:before="240" w:after="60"/>
      <w:outlineLvl w:val="4"/>
    </w:pPr>
  </w:style>
  <w:style w:type="paragraph" w:styleId="Heading6">
    <w:name w:val="heading 6"/>
    <w:basedOn w:val="Normal"/>
    <w:next w:val="Normal"/>
    <w:qFormat/>
    <w:rsid w:val="001E500F"/>
    <w:pPr>
      <w:spacing w:before="240" w:after="60"/>
      <w:outlineLvl w:val="5"/>
    </w:pPr>
  </w:style>
  <w:style w:type="paragraph" w:styleId="Heading7">
    <w:name w:val="heading 7"/>
    <w:basedOn w:val="Normal"/>
    <w:next w:val="Normal"/>
    <w:qFormat/>
    <w:rsid w:val="001E500F"/>
    <w:pPr>
      <w:spacing w:before="240" w:after="60"/>
      <w:outlineLvl w:val="6"/>
    </w:pPr>
  </w:style>
  <w:style w:type="paragraph" w:styleId="Heading8">
    <w:name w:val="heading 8"/>
    <w:basedOn w:val="Normal"/>
    <w:next w:val="Normal"/>
    <w:qFormat/>
    <w:rsid w:val="001E500F"/>
    <w:pPr>
      <w:spacing w:before="240" w:after="60"/>
      <w:outlineLvl w:val="7"/>
    </w:pPr>
  </w:style>
  <w:style w:type="paragraph" w:styleId="Heading9">
    <w:name w:val="heading 9"/>
    <w:basedOn w:val="Normal"/>
    <w:next w:val="Normal"/>
    <w:qFormat/>
    <w:rsid w:val="001E500F"/>
    <w:p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00F"/>
    <w:pPr>
      <w:tabs>
        <w:tab w:val="center" w:pos="4253"/>
        <w:tab w:val="right" w:pos="9072"/>
      </w:tabs>
    </w:pPr>
    <w:rPr>
      <w:sz w:val="16"/>
    </w:rPr>
  </w:style>
  <w:style w:type="paragraph" w:styleId="Footer">
    <w:name w:val="footer"/>
    <w:basedOn w:val="Normal"/>
    <w:link w:val="FooterChar"/>
    <w:uiPriority w:val="99"/>
    <w:rsid w:val="001E500F"/>
    <w:pPr>
      <w:tabs>
        <w:tab w:val="center" w:pos="4536"/>
        <w:tab w:val="right" w:pos="9072"/>
      </w:tabs>
    </w:pPr>
  </w:style>
  <w:style w:type="character" w:styleId="PageNumber">
    <w:name w:val="page number"/>
    <w:basedOn w:val="DefaultParagraphFont"/>
    <w:rsid w:val="001E500F"/>
    <w:rPr>
      <w:rFonts w:ascii="Arial" w:hAnsi="Arial"/>
      <w:b/>
      <w:sz w:val="20"/>
    </w:rPr>
  </w:style>
  <w:style w:type="paragraph" w:customStyle="1" w:styleId="Podpisnik1">
    <w:name w:val="Podpisnik(1)"/>
    <w:basedOn w:val="Normal"/>
    <w:next w:val="Normal"/>
    <w:rsid w:val="001E500F"/>
    <w:pPr>
      <w:tabs>
        <w:tab w:val="left" w:pos="4253"/>
      </w:tabs>
    </w:pPr>
  </w:style>
  <w:style w:type="paragraph" w:customStyle="1" w:styleId="Podpisnik2">
    <w:name w:val="Podpisnik(2)"/>
    <w:basedOn w:val="Normal"/>
    <w:next w:val="Normal"/>
    <w:rsid w:val="001E500F"/>
    <w:pPr>
      <w:tabs>
        <w:tab w:val="left" w:pos="4253"/>
        <w:tab w:val="left" w:pos="7088"/>
      </w:tabs>
    </w:pPr>
  </w:style>
  <w:style w:type="character" w:styleId="FootnoteReference">
    <w:name w:val="footnote reference"/>
    <w:basedOn w:val="DefaultParagraphFont"/>
    <w:semiHidden/>
    <w:rsid w:val="001E500F"/>
    <w:rPr>
      <w:rFonts w:ascii="Arial" w:hAnsi="Arial"/>
      <w:vertAlign w:val="superscript"/>
    </w:rPr>
  </w:style>
  <w:style w:type="character" w:styleId="EndnoteReference">
    <w:name w:val="endnote reference"/>
    <w:basedOn w:val="DefaultParagraphFont"/>
    <w:semiHidden/>
    <w:rsid w:val="001E500F"/>
    <w:rPr>
      <w:rFonts w:ascii="Arial" w:hAnsi="Arial"/>
      <w:vertAlign w:val="superscript"/>
    </w:rPr>
  </w:style>
  <w:style w:type="character" w:styleId="CommentReference">
    <w:name w:val="annotation reference"/>
    <w:basedOn w:val="DefaultParagraphFont"/>
    <w:semiHidden/>
    <w:rsid w:val="001E500F"/>
    <w:rPr>
      <w:rFonts w:ascii="Arial" w:hAnsi="Arial"/>
      <w:sz w:val="16"/>
    </w:rPr>
  </w:style>
  <w:style w:type="paragraph" w:styleId="TOAHeading">
    <w:name w:val="toa heading"/>
    <w:basedOn w:val="Normal"/>
    <w:next w:val="Normal"/>
    <w:semiHidden/>
    <w:rsid w:val="001E500F"/>
    <w:pPr>
      <w:spacing w:before="120"/>
    </w:pPr>
    <w:rPr>
      <w:b/>
      <w:i/>
      <w:sz w:val="24"/>
    </w:rPr>
  </w:style>
  <w:style w:type="paragraph" w:styleId="TOC9">
    <w:name w:val="toc 9"/>
    <w:basedOn w:val="Normal"/>
    <w:next w:val="Normal"/>
    <w:semiHidden/>
    <w:rsid w:val="001E500F"/>
    <w:pPr>
      <w:ind w:left="1600"/>
    </w:pPr>
  </w:style>
  <w:style w:type="paragraph" w:customStyle="1" w:styleId="nastevanje1nivo">
    <w:name w:val="nastevanje_1_nivo"/>
    <w:basedOn w:val="Normal"/>
    <w:rsid w:val="001E500F"/>
    <w:pPr>
      <w:numPr>
        <w:numId w:val="1"/>
      </w:numPr>
      <w:tabs>
        <w:tab w:val="clear" w:pos="360"/>
        <w:tab w:val="left" w:pos="284"/>
      </w:tabs>
    </w:pPr>
  </w:style>
  <w:style w:type="paragraph" w:customStyle="1" w:styleId="nastevanje2nivo">
    <w:name w:val="nastevanje_2_nivo"/>
    <w:basedOn w:val="nastevanje1nivo"/>
    <w:rsid w:val="001E500F"/>
    <w:pPr>
      <w:numPr>
        <w:numId w:val="2"/>
      </w:numPr>
      <w:tabs>
        <w:tab w:val="clear" w:pos="360"/>
        <w:tab w:val="left" w:pos="567"/>
      </w:tabs>
      <w:ind w:left="568"/>
    </w:pPr>
  </w:style>
  <w:style w:type="paragraph" w:customStyle="1" w:styleId="nastevanje3nivo">
    <w:name w:val="nastevanje_3_nivo"/>
    <w:basedOn w:val="nastevanje2nivo"/>
    <w:rsid w:val="001E500F"/>
    <w:pPr>
      <w:numPr>
        <w:numId w:val="5"/>
      </w:numPr>
      <w:tabs>
        <w:tab w:val="clear" w:pos="360"/>
        <w:tab w:val="left" w:pos="851"/>
      </w:tabs>
      <w:ind w:left="851"/>
    </w:pPr>
  </w:style>
  <w:style w:type="paragraph" w:customStyle="1" w:styleId="nastevanje4nivo">
    <w:name w:val="nastevanje_4_nivo"/>
    <w:basedOn w:val="nastevanje3nivo"/>
    <w:rsid w:val="001E500F"/>
    <w:pPr>
      <w:numPr>
        <w:numId w:val="3"/>
      </w:numPr>
      <w:tabs>
        <w:tab w:val="clear" w:pos="360"/>
        <w:tab w:val="clear" w:pos="851"/>
        <w:tab w:val="left" w:pos="1134"/>
      </w:tabs>
      <w:ind w:left="1135"/>
    </w:pPr>
  </w:style>
  <w:style w:type="paragraph" w:customStyle="1" w:styleId="Podnaslov1">
    <w:name w:val="Podnaslov1"/>
    <w:basedOn w:val="Normal"/>
    <w:rsid w:val="001E500F"/>
    <w:pPr>
      <w:keepNext/>
      <w:spacing w:after="360"/>
    </w:pPr>
    <w:rPr>
      <w:b/>
    </w:rPr>
  </w:style>
  <w:style w:type="paragraph" w:customStyle="1" w:styleId="nastevanje5nivo">
    <w:name w:val="nastevanje_5_nivo"/>
    <w:basedOn w:val="nastevanje4nivo"/>
    <w:rsid w:val="001E500F"/>
    <w:pPr>
      <w:numPr>
        <w:numId w:val="4"/>
      </w:numPr>
      <w:tabs>
        <w:tab w:val="clear" w:pos="360"/>
        <w:tab w:val="clear" w:pos="1134"/>
        <w:tab w:val="left" w:pos="1418"/>
      </w:tabs>
      <w:ind w:left="1418"/>
    </w:pPr>
  </w:style>
  <w:style w:type="paragraph" w:customStyle="1" w:styleId="stevilcenje">
    <w:name w:val="stevilcenje"/>
    <w:basedOn w:val="Normal"/>
    <w:rsid w:val="001E500F"/>
    <w:pPr>
      <w:ind w:left="340" w:hanging="340"/>
    </w:pPr>
  </w:style>
  <w:style w:type="paragraph" w:customStyle="1" w:styleId="Podpisnik3">
    <w:name w:val="Podpisnik(3)"/>
    <w:basedOn w:val="Podpisnik2"/>
    <w:next w:val="Normal"/>
    <w:rsid w:val="001E500F"/>
    <w:pPr>
      <w:tabs>
        <w:tab w:val="left" w:pos="1418"/>
      </w:tabs>
    </w:pPr>
  </w:style>
  <w:style w:type="paragraph" w:customStyle="1" w:styleId="Podpisnik4">
    <w:name w:val="Podpisnik(4)"/>
    <w:basedOn w:val="Normal"/>
    <w:rsid w:val="001E500F"/>
    <w:pPr>
      <w:tabs>
        <w:tab w:val="left" w:pos="2268"/>
        <w:tab w:val="left" w:pos="4536"/>
        <w:tab w:val="left" w:pos="6804"/>
      </w:tabs>
    </w:pPr>
  </w:style>
  <w:style w:type="paragraph" w:customStyle="1" w:styleId="Zadeva">
    <w:name w:val="Zadeva"/>
    <w:basedOn w:val="Normal"/>
    <w:rsid w:val="001E500F"/>
    <w:pPr>
      <w:spacing w:after="240"/>
    </w:pPr>
    <w:rPr>
      <w:b/>
      <w:sz w:val="24"/>
      <w:szCs w:val="24"/>
    </w:rPr>
  </w:style>
  <w:style w:type="paragraph" w:customStyle="1" w:styleId="PodatkioOE">
    <w:name w:val="Podatki o OE"/>
    <w:basedOn w:val="Normal"/>
    <w:rsid w:val="001E500F"/>
    <w:rPr>
      <w:b/>
      <w:sz w:val="18"/>
      <w:szCs w:val="18"/>
    </w:rPr>
  </w:style>
  <w:style w:type="paragraph" w:customStyle="1" w:styleId="Podatkioposiljatelju">
    <w:name w:val="Podatki o posiljatelju"/>
    <w:basedOn w:val="Normal"/>
    <w:rsid w:val="001E500F"/>
    <w:rPr>
      <w:sz w:val="18"/>
      <w:szCs w:val="18"/>
    </w:rPr>
  </w:style>
  <w:style w:type="character" w:styleId="Hyperlink">
    <w:name w:val="Hyperlink"/>
    <w:basedOn w:val="DefaultParagraphFont"/>
    <w:rsid w:val="006A0B6C"/>
    <w:rPr>
      <w:color w:val="0000FF"/>
      <w:u w:val="single"/>
    </w:rPr>
  </w:style>
  <w:style w:type="paragraph" w:styleId="BalloonText">
    <w:name w:val="Balloon Text"/>
    <w:basedOn w:val="Normal"/>
    <w:semiHidden/>
    <w:rsid w:val="007511C9"/>
    <w:rPr>
      <w:rFonts w:ascii="Tahoma" w:hAnsi="Tahoma" w:cs="Tahoma"/>
      <w:sz w:val="16"/>
      <w:szCs w:val="16"/>
    </w:rPr>
  </w:style>
  <w:style w:type="character" w:styleId="FollowedHyperlink">
    <w:name w:val="FollowedHyperlink"/>
    <w:basedOn w:val="DefaultParagraphFont"/>
    <w:rsid w:val="00932A66"/>
    <w:rPr>
      <w:color w:val="800080"/>
      <w:u w:val="single"/>
    </w:rPr>
  </w:style>
  <w:style w:type="paragraph" w:styleId="BodyText2">
    <w:name w:val="Body Text 2"/>
    <w:basedOn w:val="Normal"/>
    <w:link w:val="BodyText2Char"/>
    <w:rsid w:val="00C81F9E"/>
    <w:pPr>
      <w:jc w:val="both"/>
    </w:pPr>
    <w:rPr>
      <w:rFonts w:ascii="MAC C Times" w:hAnsi="MAC C Times"/>
      <w:sz w:val="24"/>
      <w:szCs w:val="24"/>
      <w:lang w:val="en-US"/>
    </w:rPr>
  </w:style>
  <w:style w:type="paragraph" w:styleId="BodyText">
    <w:name w:val="Body Text"/>
    <w:basedOn w:val="Normal"/>
    <w:link w:val="BodyTextChar"/>
    <w:rsid w:val="008D7817"/>
    <w:pPr>
      <w:spacing w:after="120"/>
    </w:pPr>
  </w:style>
  <w:style w:type="character" w:customStyle="1" w:styleId="BodyTextChar">
    <w:name w:val="Body Text Char"/>
    <w:basedOn w:val="DefaultParagraphFont"/>
    <w:link w:val="BodyText"/>
    <w:rsid w:val="008D7817"/>
    <w:rPr>
      <w:rFonts w:ascii="Arial" w:hAnsi="Arial"/>
      <w:lang w:val="sl-SI" w:eastAsia="en-US" w:bidi="ar-SA"/>
    </w:rPr>
  </w:style>
  <w:style w:type="paragraph" w:styleId="BodyText3">
    <w:name w:val="Body Text 3"/>
    <w:basedOn w:val="Normal"/>
    <w:link w:val="BodyText3Char"/>
    <w:rsid w:val="008D7817"/>
    <w:pPr>
      <w:spacing w:after="120"/>
    </w:pPr>
    <w:rPr>
      <w:sz w:val="16"/>
      <w:szCs w:val="16"/>
    </w:rPr>
  </w:style>
  <w:style w:type="character" w:customStyle="1" w:styleId="BodyText3Char">
    <w:name w:val="Body Text 3 Char"/>
    <w:basedOn w:val="DefaultParagraphFont"/>
    <w:link w:val="BodyText3"/>
    <w:rsid w:val="008D7817"/>
    <w:rPr>
      <w:rFonts w:ascii="Arial" w:hAnsi="Arial"/>
      <w:sz w:val="16"/>
      <w:szCs w:val="16"/>
      <w:lang w:val="sl-SI" w:eastAsia="en-US" w:bidi="ar-SA"/>
    </w:rPr>
  </w:style>
  <w:style w:type="paragraph" w:styleId="CommentText">
    <w:name w:val="annotation text"/>
    <w:basedOn w:val="Normal"/>
    <w:link w:val="CommentTextChar"/>
    <w:rsid w:val="004D382B"/>
  </w:style>
  <w:style w:type="character" w:customStyle="1" w:styleId="CommentTextChar">
    <w:name w:val="Comment Text Char"/>
    <w:basedOn w:val="DefaultParagraphFont"/>
    <w:link w:val="CommentText"/>
    <w:rsid w:val="004D382B"/>
    <w:rPr>
      <w:rFonts w:ascii="Arial" w:hAnsi="Arial"/>
      <w:lang w:val="sl-SI"/>
    </w:rPr>
  </w:style>
  <w:style w:type="paragraph" w:styleId="CommentSubject">
    <w:name w:val="annotation subject"/>
    <w:basedOn w:val="CommentText"/>
    <w:next w:val="CommentText"/>
    <w:link w:val="CommentSubjectChar"/>
    <w:rsid w:val="004D382B"/>
    <w:rPr>
      <w:b/>
      <w:bCs/>
    </w:rPr>
  </w:style>
  <w:style w:type="character" w:customStyle="1" w:styleId="CommentSubjectChar">
    <w:name w:val="Comment Subject Char"/>
    <w:basedOn w:val="CommentTextChar"/>
    <w:link w:val="CommentSubject"/>
    <w:rsid w:val="004D382B"/>
    <w:rPr>
      <w:rFonts w:ascii="Arial" w:hAnsi="Arial"/>
      <w:b/>
      <w:bCs/>
      <w:lang w:val="sl-SI"/>
    </w:rPr>
  </w:style>
  <w:style w:type="paragraph" w:styleId="HTMLPreformatted">
    <w:name w:val="HTML Preformatted"/>
    <w:basedOn w:val="Normal"/>
    <w:link w:val="HTMLPreformattedChar"/>
    <w:uiPriority w:val="99"/>
    <w:unhideWhenUsed/>
    <w:rsid w:val="00365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mk-MK" w:eastAsia="mk-MK"/>
    </w:rPr>
  </w:style>
  <w:style w:type="character" w:customStyle="1" w:styleId="HTMLPreformattedChar">
    <w:name w:val="HTML Preformatted Char"/>
    <w:basedOn w:val="DefaultParagraphFont"/>
    <w:link w:val="HTMLPreformatted"/>
    <w:uiPriority w:val="99"/>
    <w:rsid w:val="00365E21"/>
    <w:rPr>
      <w:rFonts w:ascii="Courier New" w:hAnsi="Courier New" w:cs="Courier New"/>
    </w:rPr>
  </w:style>
  <w:style w:type="paragraph" w:customStyle="1" w:styleId="Default">
    <w:name w:val="Default"/>
    <w:rsid w:val="00D812B4"/>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B73716"/>
    <w:rPr>
      <w:rFonts w:ascii="MAC C Times" w:hAnsi="MAC C Times"/>
      <w:sz w:val="24"/>
      <w:szCs w:val="24"/>
      <w:lang w:val="en-US" w:eastAsia="en-US"/>
    </w:rPr>
  </w:style>
  <w:style w:type="character" w:customStyle="1" w:styleId="hps">
    <w:name w:val="hps"/>
    <w:rsid w:val="0097104F"/>
  </w:style>
  <w:style w:type="paragraph" w:styleId="ListParagraph">
    <w:name w:val="List Paragraph"/>
    <w:basedOn w:val="Normal"/>
    <w:uiPriority w:val="34"/>
    <w:qFormat/>
    <w:rsid w:val="0097104F"/>
    <w:pPr>
      <w:ind w:left="720"/>
      <w:contextualSpacing/>
    </w:pPr>
  </w:style>
  <w:style w:type="table" w:styleId="TableGrid">
    <w:name w:val="Table Grid"/>
    <w:basedOn w:val="TableNormal"/>
    <w:rsid w:val="00971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46612"/>
    <w:pPr>
      <w:widowControl w:val="0"/>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FooterChar">
    <w:name w:val="Footer Char"/>
    <w:basedOn w:val="DefaultParagraphFont"/>
    <w:link w:val="Footer"/>
    <w:uiPriority w:val="99"/>
    <w:rsid w:val="00AD1AB7"/>
    <w:rPr>
      <w:rFonts w:ascii="Arial" w:hAnsi="Arial"/>
      <w:lang w:val="sl-SI" w:eastAsia="en-US"/>
    </w:rPr>
  </w:style>
  <w:style w:type="paragraph" w:styleId="Revision">
    <w:name w:val="Revision"/>
    <w:hidden/>
    <w:uiPriority w:val="99"/>
    <w:semiHidden/>
    <w:rsid w:val="00E17BE1"/>
    <w:rPr>
      <w:rFonts w:ascii="Arial" w:hAnsi="Arial"/>
      <w:lang w:val="sl-SI" w:eastAsia="en-US"/>
    </w:rPr>
  </w:style>
  <w:style w:type="paragraph" w:customStyle="1" w:styleId="TableParagraph">
    <w:name w:val="Table Paragraph"/>
    <w:basedOn w:val="Normal"/>
    <w:uiPriority w:val="1"/>
    <w:qFormat/>
    <w:rsid w:val="00F7485C"/>
    <w:pPr>
      <w:widowControl w:val="0"/>
    </w:pPr>
    <w:rPr>
      <w:rFonts w:asciiTheme="minorHAnsi" w:eastAsiaTheme="minorHAnsi" w:hAnsiTheme="minorHAnsi" w:cstheme="minorBidi"/>
      <w:sz w:val="22"/>
      <w:szCs w:val="22"/>
      <w:lang w:val="en-US"/>
    </w:rPr>
  </w:style>
  <w:style w:type="paragraph" w:styleId="EndnoteText">
    <w:name w:val="endnote text"/>
    <w:basedOn w:val="Normal"/>
    <w:link w:val="EndnoteTextChar"/>
    <w:semiHidden/>
    <w:unhideWhenUsed/>
    <w:rsid w:val="008A4443"/>
  </w:style>
  <w:style w:type="character" w:customStyle="1" w:styleId="EndnoteTextChar">
    <w:name w:val="Endnote Text Char"/>
    <w:basedOn w:val="DefaultParagraphFont"/>
    <w:link w:val="EndnoteText"/>
    <w:semiHidden/>
    <w:rsid w:val="008A4443"/>
    <w:rPr>
      <w:rFonts w:ascii="Arial" w:hAnsi="Arial"/>
      <w:lang w:val="sl-SI" w:eastAsia="en-US"/>
    </w:rPr>
  </w:style>
  <w:style w:type="character" w:styleId="UnresolvedMention">
    <w:name w:val="Unresolved Mention"/>
    <w:basedOn w:val="DefaultParagraphFont"/>
    <w:uiPriority w:val="99"/>
    <w:semiHidden/>
    <w:unhideWhenUsed/>
    <w:rsid w:val="00B92975"/>
    <w:rPr>
      <w:color w:val="605E5C"/>
      <w:shd w:val="clear" w:color="auto" w:fill="E1DFDD"/>
    </w:rPr>
  </w:style>
  <w:style w:type="paragraph" w:customStyle="1" w:styleId="pf0">
    <w:name w:val="pf0"/>
    <w:basedOn w:val="Normal"/>
    <w:rsid w:val="00E00845"/>
    <w:pPr>
      <w:spacing w:before="100" w:beforeAutospacing="1" w:after="100" w:afterAutospacing="1"/>
    </w:pPr>
    <w:rPr>
      <w:rFonts w:ascii="Times New Roman" w:hAnsi="Times New Roman"/>
      <w:sz w:val="24"/>
      <w:szCs w:val="24"/>
      <w:lang w:val="mk-MK" w:eastAsia="mk-MK"/>
    </w:rPr>
  </w:style>
  <w:style w:type="character" w:customStyle="1" w:styleId="cf01">
    <w:name w:val="cf01"/>
    <w:basedOn w:val="DefaultParagraphFont"/>
    <w:rsid w:val="00E00845"/>
    <w:rPr>
      <w:rFonts w:ascii="Segoe UI" w:hAnsi="Segoe UI" w:cs="Segoe UI" w:hint="default"/>
      <w:b/>
      <w:bCs/>
      <w:sz w:val="18"/>
      <w:szCs w:val="18"/>
    </w:rPr>
  </w:style>
  <w:style w:type="character" w:customStyle="1" w:styleId="cf11">
    <w:name w:val="cf11"/>
    <w:basedOn w:val="DefaultParagraphFont"/>
    <w:rsid w:val="00E008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48">
      <w:bodyDiv w:val="1"/>
      <w:marLeft w:val="0"/>
      <w:marRight w:val="0"/>
      <w:marTop w:val="0"/>
      <w:marBottom w:val="0"/>
      <w:divBdr>
        <w:top w:val="none" w:sz="0" w:space="0" w:color="auto"/>
        <w:left w:val="none" w:sz="0" w:space="0" w:color="auto"/>
        <w:bottom w:val="none" w:sz="0" w:space="0" w:color="auto"/>
        <w:right w:val="none" w:sz="0" w:space="0" w:color="auto"/>
      </w:divBdr>
    </w:div>
    <w:div w:id="68581351">
      <w:bodyDiv w:val="1"/>
      <w:marLeft w:val="0"/>
      <w:marRight w:val="0"/>
      <w:marTop w:val="0"/>
      <w:marBottom w:val="0"/>
      <w:divBdr>
        <w:top w:val="none" w:sz="0" w:space="0" w:color="auto"/>
        <w:left w:val="none" w:sz="0" w:space="0" w:color="auto"/>
        <w:bottom w:val="none" w:sz="0" w:space="0" w:color="auto"/>
        <w:right w:val="none" w:sz="0" w:space="0" w:color="auto"/>
      </w:divBdr>
    </w:div>
    <w:div w:id="92671905">
      <w:bodyDiv w:val="1"/>
      <w:marLeft w:val="0"/>
      <w:marRight w:val="0"/>
      <w:marTop w:val="0"/>
      <w:marBottom w:val="0"/>
      <w:divBdr>
        <w:top w:val="none" w:sz="0" w:space="0" w:color="auto"/>
        <w:left w:val="none" w:sz="0" w:space="0" w:color="auto"/>
        <w:bottom w:val="none" w:sz="0" w:space="0" w:color="auto"/>
        <w:right w:val="none" w:sz="0" w:space="0" w:color="auto"/>
      </w:divBdr>
    </w:div>
    <w:div w:id="128283515">
      <w:bodyDiv w:val="1"/>
      <w:marLeft w:val="0"/>
      <w:marRight w:val="0"/>
      <w:marTop w:val="0"/>
      <w:marBottom w:val="0"/>
      <w:divBdr>
        <w:top w:val="none" w:sz="0" w:space="0" w:color="auto"/>
        <w:left w:val="none" w:sz="0" w:space="0" w:color="auto"/>
        <w:bottom w:val="none" w:sz="0" w:space="0" w:color="auto"/>
        <w:right w:val="none" w:sz="0" w:space="0" w:color="auto"/>
      </w:divBdr>
    </w:div>
    <w:div w:id="284971138">
      <w:bodyDiv w:val="1"/>
      <w:marLeft w:val="0"/>
      <w:marRight w:val="0"/>
      <w:marTop w:val="0"/>
      <w:marBottom w:val="0"/>
      <w:divBdr>
        <w:top w:val="none" w:sz="0" w:space="0" w:color="auto"/>
        <w:left w:val="none" w:sz="0" w:space="0" w:color="auto"/>
        <w:bottom w:val="none" w:sz="0" w:space="0" w:color="auto"/>
        <w:right w:val="none" w:sz="0" w:space="0" w:color="auto"/>
      </w:divBdr>
      <w:divsChild>
        <w:div w:id="197086117">
          <w:marLeft w:val="0"/>
          <w:marRight w:val="0"/>
          <w:marTop w:val="0"/>
          <w:marBottom w:val="0"/>
          <w:divBdr>
            <w:top w:val="none" w:sz="0" w:space="0" w:color="auto"/>
            <w:left w:val="none" w:sz="0" w:space="0" w:color="auto"/>
            <w:bottom w:val="none" w:sz="0" w:space="0" w:color="auto"/>
            <w:right w:val="none" w:sz="0" w:space="0" w:color="auto"/>
          </w:divBdr>
          <w:divsChild>
            <w:div w:id="544950314">
              <w:marLeft w:val="0"/>
              <w:marRight w:val="0"/>
              <w:marTop w:val="0"/>
              <w:marBottom w:val="0"/>
              <w:divBdr>
                <w:top w:val="none" w:sz="0" w:space="0" w:color="auto"/>
                <w:left w:val="none" w:sz="0" w:space="0" w:color="auto"/>
                <w:bottom w:val="none" w:sz="0" w:space="0" w:color="auto"/>
                <w:right w:val="none" w:sz="0" w:space="0" w:color="auto"/>
              </w:divBdr>
              <w:divsChild>
                <w:div w:id="1098478798">
                  <w:marLeft w:val="0"/>
                  <w:marRight w:val="0"/>
                  <w:marTop w:val="0"/>
                  <w:marBottom w:val="0"/>
                  <w:divBdr>
                    <w:top w:val="none" w:sz="0" w:space="0" w:color="auto"/>
                    <w:left w:val="none" w:sz="0" w:space="0" w:color="auto"/>
                    <w:bottom w:val="none" w:sz="0" w:space="0" w:color="auto"/>
                    <w:right w:val="none" w:sz="0" w:space="0" w:color="auto"/>
                  </w:divBdr>
                  <w:divsChild>
                    <w:div w:id="1391536976">
                      <w:marLeft w:val="0"/>
                      <w:marRight w:val="0"/>
                      <w:marTop w:val="0"/>
                      <w:marBottom w:val="0"/>
                      <w:divBdr>
                        <w:top w:val="none" w:sz="0" w:space="0" w:color="auto"/>
                        <w:left w:val="none" w:sz="0" w:space="0" w:color="auto"/>
                        <w:bottom w:val="none" w:sz="0" w:space="0" w:color="auto"/>
                        <w:right w:val="none" w:sz="0" w:space="0" w:color="auto"/>
                      </w:divBdr>
                      <w:divsChild>
                        <w:div w:id="1394544089">
                          <w:marLeft w:val="0"/>
                          <w:marRight w:val="0"/>
                          <w:marTop w:val="0"/>
                          <w:marBottom w:val="0"/>
                          <w:divBdr>
                            <w:top w:val="none" w:sz="0" w:space="0" w:color="auto"/>
                            <w:left w:val="none" w:sz="0" w:space="0" w:color="auto"/>
                            <w:bottom w:val="none" w:sz="0" w:space="0" w:color="auto"/>
                            <w:right w:val="none" w:sz="0" w:space="0" w:color="auto"/>
                          </w:divBdr>
                          <w:divsChild>
                            <w:div w:id="1974404866">
                              <w:marLeft w:val="0"/>
                              <w:marRight w:val="0"/>
                              <w:marTop w:val="0"/>
                              <w:marBottom w:val="0"/>
                              <w:divBdr>
                                <w:top w:val="none" w:sz="0" w:space="0" w:color="auto"/>
                                <w:left w:val="none" w:sz="0" w:space="0" w:color="auto"/>
                                <w:bottom w:val="none" w:sz="0" w:space="0" w:color="auto"/>
                                <w:right w:val="none" w:sz="0" w:space="0" w:color="auto"/>
                              </w:divBdr>
                              <w:divsChild>
                                <w:div w:id="684526039">
                                  <w:marLeft w:val="0"/>
                                  <w:marRight w:val="0"/>
                                  <w:marTop w:val="0"/>
                                  <w:marBottom w:val="0"/>
                                  <w:divBdr>
                                    <w:top w:val="none" w:sz="0" w:space="0" w:color="auto"/>
                                    <w:left w:val="none" w:sz="0" w:space="0" w:color="auto"/>
                                    <w:bottom w:val="none" w:sz="0" w:space="0" w:color="auto"/>
                                    <w:right w:val="none" w:sz="0" w:space="0" w:color="auto"/>
                                  </w:divBdr>
                                  <w:divsChild>
                                    <w:div w:id="57673806">
                                      <w:marLeft w:val="0"/>
                                      <w:marRight w:val="0"/>
                                      <w:marTop w:val="0"/>
                                      <w:marBottom w:val="0"/>
                                      <w:divBdr>
                                        <w:top w:val="none" w:sz="0" w:space="0" w:color="auto"/>
                                        <w:left w:val="none" w:sz="0" w:space="0" w:color="auto"/>
                                        <w:bottom w:val="none" w:sz="0" w:space="0" w:color="auto"/>
                                        <w:right w:val="none" w:sz="0" w:space="0" w:color="auto"/>
                                      </w:divBdr>
                                      <w:divsChild>
                                        <w:div w:id="1370452236">
                                          <w:marLeft w:val="0"/>
                                          <w:marRight w:val="0"/>
                                          <w:marTop w:val="0"/>
                                          <w:marBottom w:val="495"/>
                                          <w:divBdr>
                                            <w:top w:val="none" w:sz="0" w:space="0" w:color="auto"/>
                                            <w:left w:val="none" w:sz="0" w:space="0" w:color="auto"/>
                                            <w:bottom w:val="none" w:sz="0" w:space="0" w:color="auto"/>
                                            <w:right w:val="none" w:sz="0" w:space="0" w:color="auto"/>
                                          </w:divBdr>
                                          <w:divsChild>
                                            <w:div w:id="3539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74168">
      <w:bodyDiv w:val="1"/>
      <w:marLeft w:val="0"/>
      <w:marRight w:val="0"/>
      <w:marTop w:val="0"/>
      <w:marBottom w:val="0"/>
      <w:divBdr>
        <w:top w:val="none" w:sz="0" w:space="0" w:color="auto"/>
        <w:left w:val="none" w:sz="0" w:space="0" w:color="auto"/>
        <w:bottom w:val="none" w:sz="0" w:space="0" w:color="auto"/>
        <w:right w:val="none" w:sz="0" w:space="0" w:color="auto"/>
      </w:divBdr>
    </w:div>
    <w:div w:id="474687204">
      <w:bodyDiv w:val="1"/>
      <w:marLeft w:val="0"/>
      <w:marRight w:val="0"/>
      <w:marTop w:val="0"/>
      <w:marBottom w:val="0"/>
      <w:divBdr>
        <w:top w:val="none" w:sz="0" w:space="0" w:color="auto"/>
        <w:left w:val="none" w:sz="0" w:space="0" w:color="auto"/>
        <w:bottom w:val="none" w:sz="0" w:space="0" w:color="auto"/>
        <w:right w:val="none" w:sz="0" w:space="0" w:color="auto"/>
      </w:divBdr>
    </w:div>
    <w:div w:id="524446015">
      <w:bodyDiv w:val="1"/>
      <w:marLeft w:val="0"/>
      <w:marRight w:val="0"/>
      <w:marTop w:val="0"/>
      <w:marBottom w:val="0"/>
      <w:divBdr>
        <w:top w:val="none" w:sz="0" w:space="0" w:color="auto"/>
        <w:left w:val="none" w:sz="0" w:space="0" w:color="auto"/>
        <w:bottom w:val="none" w:sz="0" w:space="0" w:color="auto"/>
        <w:right w:val="none" w:sz="0" w:space="0" w:color="auto"/>
      </w:divBdr>
      <w:divsChild>
        <w:div w:id="318071902">
          <w:marLeft w:val="0"/>
          <w:marRight w:val="0"/>
          <w:marTop w:val="0"/>
          <w:marBottom w:val="0"/>
          <w:divBdr>
            <w:top w:val="none" w:sz="0" w:space="0" w:color="auto"/>
            <w:left w:val="none" w:sz="0" w:space="0" w:color="auto"/>
            <w:bottom w:val="none" w:sz="0" w:space="0" w:color="auto"/>
            <w:right w:val="none" w:sz="0" w:space="0" w:color="auto"/>
          </w:divBdr>
          <w:divsChild>
            <w:div w:id="1592809692">
              <w:marLeft w:val="0"/>
              <w:marRight w:val="0"/>
              <w:marTop w:val="0"/>
              <w:marBottom w:val="0"/>
              <w:divBdr>
                <w:top w:val="none" w:sz="0" w:space="0" w:color="auto"/>
                <w:left w:val="none" w:sz="0" w:space="0" w:color="auto"/>
                <w:bottom w:val="none" w:sz="0" w:space="0" w:color="auto"/>
                <w:right w:val="none" w:sz="0" w:space="0" w:color="auto"/>
              </w:divBdr>
              <w:divsChild>
                <w:div w:id="102069682">
                  <w:marLeft w:val="0"/>
                  <w:marRight w:val="0"/>
                  <w:marTop w:val="0"/>
                  <w:marBottom w:val="0"/>
                  <w:divBdr>
                    <w:top w:val="none" w:sz="0" w:space="0" w:color="auto"/>
                    <w:left w:val="none" w:sz="0" w:space="0" w:color="auto"/>
                    <w:bottom w:val="none" w:sz="0" w:space="0" w:color="auto"/>
                    <w:right w:val="none" w:sz="0" w:space="0" w:color="auto"/>
                  </w:divBdr>
                  <w:divsChild>
                    <w:div w:id="2017995349">
                      <w:marLeft w:val="0"/>
                      <w:marRight w:val="0"/>
                      <w:marTop w:val="0"/>
                      <w:marBottom w:val="0"/>
                      <w:divBdr>
                        <w:top w:val="none" w:sz="0" w:space="0" w:color="auto"/>
                        <w:left w:val="none" w:sz="0" w:space="0" w:color="auto"/>
                        <w:bottom w:val="none" w:sz="0" w:space="0" w:color="auto"/>
                        <w:right w:val="none" w:sz="0" w:space="0" w:color="auto"/>
                      </w:divBdr>
                      <w:divsChild>
                        <w:div w:id="675425903">
                          <w:marLeft w:val="0"/>
                          <w:marRight w:val="0"/>
                          <w:marTop w:val="0"/>
                          <w:marBottom w:val="0"/>
                          <w:divBdr>
                            <w:top w:val="none" w:sz="0" w:space="0" w:color="auto"/>
                            <w:left w:val="none" w:sz="0" w:space="0" w:color="auto"/>
                            <w:bottom w:val="none" w:sz="0" w:space="0" w:color="auto"/>
                            <w:right w:val="none" w:sz="0" w:space="0" w:color="auto"/>
                          </w:divBdr>
                          <w:divsChild>
                            <w:div w:id="1349405479">
                              <w:marLeft w:val="0"/>
                              <w:marRight w:val="0"/>
                              <w:marTop w:val="0"/>
                              <w:marBottom w:val="0"/>
                              <w:divBdr>
                                <w:top w:val="none" w:sz="0" w:space="0" w:color="auto"/>
                                <w:left w:val="none" w:sz="0" w:space="0" w:color="auto"/>
                                <w:bottom w:val="none" w:sz="0" w:space="0" w:color="auto"/>
                                <w:right w:val="none" w:sz="0" w:space="0" w:color="auto"/>
                              </w:divBdr>
                              <w:divsChild>
                                <w:div w:id="1421290211">
                                  <w:marLeft w:val="0"/>
                                  <w:marRight w:val="0"/>
                                  <w:marTop w:val="0"/>
                                  <w:marBottom w:val="0"/>
                                  <w:divBdr>
                                    <w:top w:val="none" w:sz="0" w:space="0" w:color="auto"/>
                                    <w:left w:val="none" w:sz="0" w:space="0" w:color="auto"/>
                                    <w:bottom w:val="none" w:sz="0" w:space="0" w:color="auto"/>
                                    <w:right w:val="none" w:sz="0" w:space="0" w:color="auto"/>
                                  </w:divBdr>
                                  <w:divsChild>
                                    <w:div w:id="2084326754">
                                      <w:marLeft w:val="0"/>
                                      <w:marRight w:val="0"/>
                                      <w:marTop w:val="0"/>
                                      <w:marBottom w:val="0"/>
                                      <w:divBdr>
                                        <w:top w:val="none" w:sz="0" w:space="0" w:color="auto"/>
                                        <w:left w:val="none" w:sz="0" w:space="0" w:color="auto"/>
                                        <w:bottom w:val="none" w:sz="0" w:space="0" w:color="auto"/>
                                        <w:right w:val="none" w:sz="0" w:space="0" w:color="auto"/>
                                      </w:divBdr>
                                      <w:divsChild>
                                        <w:div w:id="117724329">
                                          <w:marLeft w:val="0"/>
                                          <w:marRight w:val="0"/>
                                          <w:marTop w:val="0"/>
                                          <w:marBottom w:val="495"/>
                                          <w:divBdr>
                                            <w:top w:val="none" w:sz="0" w:space="0" w:color="auto"/>
                                            <w:left w:val="none" w:sz="0" w:space="0" w:color="auto"/>
                                            <w:bottom w:val="none" w:sz="0" w:space="0" w:color="auto"/>
                                            <w:right w:val="none" w:sz="0" w:space="0" w:color="auto"/>
                                          </w:divBdr>
                                          <w:divsChild>
                                            <w:div w:id="11611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949068">
      <w:bodyDiv w:val="1"/>
      <w:marLeft w:val="0"/>
      <w:marRight w:val="0"/>
      <w:marTop w:val="0"/>
      <w:marBottom w:val="0"/>
      <w:divBdr>
        <w:top w:val="none" w:sz="0" w:space="0" w:color="auto"/>
        <w:left w:val="none" w:sz="0" w:space="0" w:color="auto"/>
        <w:bottom w:val="none" w:sz="0" w:space="0" w:color="auto"/>
        <w:right w:val="none" w:sz="0" w:space="0" w:color="auto"/>
      </w:divBdr>
    </w:div>
    <w:div w:id="652755635">
      <w:bodyDiv w:val="1"/>
      <w:marLeft w:val="0"/>
      <w:marRight w:val="0"/>
      <w:marTop w:val="0"/>
      <w:marBottom w:val="0"/>
      <w:divBdr>
        <w:top w:val="none" w:sz="0" w:space="0" w:color="auto"/>
        <w:left w:val="none" w:sz="0" w:space="0" w:color="auto"/>
        <w:bottom w:val="none" w:sz="0" w:space="0" w:color="auto"/>
        <w:right w:val="none" w:sz="0" w:space="0" w:color="auto"/>
      </w:divBdr>
    </w:div>
    <w:div w:id="812260214">
      <w:bodyDiv w:val="1"/>
      <w:marLeft w:val="0"/>
      <w:marRight w:val="0"/>
      <w:marTop w:val="0"/>
      <w:marBottom w:val="0"/>
      <w:divBdr>
        <w:top w:val="none" w:sz="0" w:space="0" w:color="auto"/>
        <w:left w:val="none" w:sz="0" w:space="0" w:color="auto"/>
        <w:bottom w:val="none" w:sz="0" w:space="0" w:color="auto"/>
        <w:right w:val="none" w:sz="0" w:space="0" w:color="auto"/>
      </w:divBdr>
    </w:div>
    <w:div w:id="894584441">
      <w:bodyDiv w:val="1"/>
      <w:marLeft w:val="0"/>
      <w:marRight w:val="0"/>
      <w:marTop w:val="0"/>
      <w:marBottom w:val="0"/>
      <w:divBdr>
        <w:top w:val="none" w:sz="0" w:space="0" w:color="auto"/>
        <w:left w:val="none" w:sz="0" w:space="0" w:color="auto"/>
        <w:bottom w:val="none" w:sz="0" w:space="0" w:color="auto"/>
        <w:right w:val="none" w:sz="0" w:space="0" w:color="auto"/>
      </w:divBdr>
    </w:div>
    <w:div w:id="939021599">
      <w:bodyDiv w:val="1"/>
      <w:marLeft w:val="0"/>
      <w:marRight w:val="0"/>
      <w:marTop w:val="0"/>
      <w:marBottom w:val="0"/>
      <w:divBdr>
        <w:top w:val="none" w:sz="0" w:space="0" w:color="auto"/>
        <w:left w:val="none" w:sz="0" w:space="0" w:color="auto"/>
        <w:bottom w:val="none" w:sz="0" w:space="0" w:color="auto"/>
        <w:right w:val="none" w:sz="0" w:space="0" w:color="auto"/>
      </w:divBdr>
    </w:div>
    <w:div w:id="947202012">
      <w:bodyDiv w:val="1"/>
      <w:marLeft w:val="0"/>
      <w:marRight w:val="0"/>
      <w:marTop w:val="0"/>
      <w:marBottom w:val="0"/>
      <w:divBdr>
        <w:top w:val="none" w:sz="0" w:space="0" w:color="auto"/>
        <w:left w:val="none" w:sz="0" w:space="0" w:color="auto"/>
        <w:bottom w:val="none" w:sz="0" w:space="0" w:color="auto"/>
        <w:right w:val="none" w:sz="0" w:space="0" w:color="auto"/>
      </w:divBdr>
    </w:div>
    <w:div w:id="1040546073">
      <w:bodyDiv w:val="1"/>
      <w:marLeft w:val="0"/>
      <w:marRight w:val="0"/>
      <w:marTop w:val="0"/>
      <w:marBottom w:val="0"/>
      <w:divBdr>
        <w:top w:val="none" w:sz="0" w:space="0" w:color="auto"/>
        <w:left w:val="none" w:sz="0" w:space="0" w:color="auto"/>
        <w:bottom w:val="none" w:sz="0" w:space="0" w:color="auto"/>
        <w:right w:val="none" w:sz="0" w:space="0" w:color="auto"/>
      </w:divBdr>
    </w:div>
    <w:div w:id="1074006851">
      <w:bodyDiv w:val="1"/>
      <w:marLeft w:val="0"/>
      <w:marRight w:val="0"/>
      <w:marTop w:val="0"/>
      <w:marBottom w:val="0"/>
      <w:divBdr>
        <w:top w:val="none" w:sz="0" w:space="0" w:color="auto"/>
        <w:left w:val="none" w:sz="0" w:space="0" w:color="auto"/>
        <w:bottom w:val="none" w:sz="0" w:space="0" w:color="auto"/>
        <w:right w:val="none" w:sz="0" w:space="0" w:color="auto"/>
      </w:divBdr>
    </w:div>
    <w:div w:id="1182823109">
      <w:bodyDiv w:val="1"/>
      <w:marLeft w:val="0"/>
      <w:marRight w:val="0"/>
      <w:marTop w:val="0"/>
      <w:marBottom w:val="0"/>
      <w:divBdr>
        <w:top w:val="none" w:sz="0" w:space="0" w:color="auto"/>
        <w:left w:val="none" w:sz="0" w:space="0" w:color="auto"/>
        <w:bottom w:val="none" w:sz="0" w:space="0" w:color="auto"/>
        <w:right w:val="none" w:sz="0" w:space="0" w:color="auto"/>
      </w:divBdr>
    </w:div>
    <w:div w:id="1273392433">
      <w:bodyDiv w:val="1"/>
      <w:marLeft w:val="0"/>
      <w:marRight w:val="0"/>
      <w:marTop w:val="0"/>
      <w:marBottom w:val="0"/>
      <w:divBdr>
        <w:top w:val="none" w:sz="0" w:space="0" w:color="auto"/>
        <w:left w:val="none" w:sz="0" w:space="0" w:color="auto"/>
        <w:bottom w:val="none" w:sz="0" w:space="0" w:color="auto"/>
        <w:right w:val="none" w:sz="0" w:space="0" w:color="auto"/>
      </w:divBdr>
    </w:div>
    <w:div w:id="1280139093">
      <w:bodyDiv w:val="1"/>
      <w:marLeft w:val="0"/>
      <w:marRight w:val="0"/>
      <w:marTop w:val="0"/>
      <w:marBottom w:val="0"/>
      <w:divBdr>
        <w:top w:val="none" w:sz="0" w:space="0" w:color="auto"/>
        <w:left w:val="none" w:sz="0" w:space="0" w:color="auto"/>
        <w:bottom w:val="none" w:sz="0" w:space="0" w:color="auto"/>
        <w:right w:val="none" w:sz="0" w:space="0" w:color="auto"/>
      </w:divBdr>
    </w:div>
    <w:div w:id="1304774900">
      <w:bodyDiv w:val="1"/>
      <w:marLeft w:val="0"/>
      <w:marRight w:val="0"/>
      <w:marTop w:val="0"/>
      <w:marBottom w:val="0"/>
      <w:divBdr>
        <w:top w:val="none" w:sz="0" w:space="0" w:color="auto"/>
        <w:left w:val="none" w:sz="0" w:space="0" w:color="auto"/>
        <w:bottom w:val="none" w:sz="0" w:space="0" w:color="auto"/>
        <w:right w:val="none" w:sz="0" w:space="0" w:color="auto"/>
      </w:divBdr>
    </w:div>
    <w:div w:id="1359309877">
      <w:bodyDiv w:val="1"/>
      <w:marLeft w:val="0"/>
      <w:marRight w:val="0"/>
      <w:marTop w:val="0"/>
      <w:marBottom w:val="0"/>
      <w:divBdr>
        <w:top w:val="none" w:sz="0" w:space="0" w:color="auto"/>
        <w:left w:val="none" w:sz="0" w:space="0" w:color="auto"/>
        <w:bottom w:val="none" w:sz="0" w:space="0" w:color="auto"/>
        <w:right w:val="none" w:sz="0" w:space="0" w:color="auto"/>
      </w:divBdr>
    </w:div>
    <w:div w:id="1367943631">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405227918">
      <w:bodyDiv w:val="1"/>
      <w:marLeft w:val="0"/>
      <w:marRight w:val="0"/>
      <w:marTop w:val="0"/>
      <w:marBottom w:val="0"/>
      <w:divBdr>
        <w:top w:val="none" w:sz="0" w:space="0" w:color="auto"/>
        <w:left w:val="none" w:sz="0" w:space="0" w:color="auto"/>
        <w:bottom w:val="none" w:sz="0" w:space="0" w:color="auto"/>
        <w:right w:val="none" w:sz="0" w:space="0" w:color="auto"/>
      </w:divBdr>
    </w:div>
    <w:div w:id="1484661253">
      <w:bodyDiv w:val="1"/>
      <w:marLeft w:val="0"/>
      <w:marRight w:val="0"/>
      <w:marTop w:val="0"/>
      <w:marBottom w:val="0"/>
      <w:divBdr>
        <w:top w:val="none" w:sz="0" w:space="0" w:color="auto"/>
        <w:left w:val="none" w:sz="0" w:space="0" w:color="auto"/>
        <w:bottom w:val="none" w:sz="0" w:space="0" w:color="auto"/>
        <w:right w:val="none" w:sz="0" w:space="0" w:color="auto"/>
      </w:divBdr>
    </w:div>
    <w:div w:id="1511870367">
      <w:bodyDiv w:val="1"/>
      <w:marLeft w:val="0"/>
      <w:marRight w:val="0"/>
      <w:marTop w:val="0"/>
      <w:marBottom w:val="0"/>
      <w:divBdr>
        <w:top w:val="none" w:sz="0" w:space="0" w:color="auto"/>
        <w:left w:val="none" w:sz="0" w:space="0" w:color="auto"/>
        <w:bottom w:val="none" w:sz="0" w:space="0" w:color="auto"/>
        <w:right w:val="none" w:sz="0" w:space="0" w:color="auto"/>
      </w:divBdr>
    </w:div>
    <w:div w:id="1521700678">
      <w:bodyDiv w:val="1"/>
      <w:marLeft w:val="0"/>
      <w:marRight w:val="0"/>
      <w:marTop w:val="0"/>
      <w:marBottom w:val="0"/>
      <w:divBdr>
        <w:top w:val="none" w:sz="0" w:space="0" w:color="auto"/>
        <w:left w:val="none" w:sz="0" w:space="0" w:color="auto"/>
        <w:bottom w:val="none" w:sz="0" w:space="0" w:color="auto"/>
        <w:right w:val="none" w:sz="0" w:space="0" w:color="auto"/>
      </w:divBdr>
    </w:div>
    <w:div w:id="1560248264">
      <w:bodyDiv w:val="1"/>
      <w:marLeft w:val="0"/>
      <w:marRight w:val="0"/>
      <w:marTop w:val="0"/>
      <w:marBottom w:val="0"/>
      <w:divBdr>
        <w:top w:val="none" w:sz="0" w:space="0" w:color="auto"/>
        <w:left w:val="none" w:sz="0" w:space="0" w:color="auto"/>
        <w:bottom w:val="none" w:sz="0" w:space="0" w:color="auto"/>
        <w:right w:val="none" w:sz="0" w:space="0" w:color="auto"/>
      </w:divBdr>
    </w:div>
    <w:div w:id="1690448882">
      <w:bodyDiv w:val="1"/>
      <w:marLeft w:val="0"/>
      <w:marRight w:val="0"/>
      <w:marTop w:val="0"/>
      <w:marBottom w:val="0"/>
      <w:divBdr>
        <w:top w:val="none" w:sz="0" w:space="0" w:color="auto"/>
        <w:left w:val="none" w:sz="0" w:space="0" w:color="auto"/>
        <w:bottom w:val="none" w:sz="0" w:space="0" w:color="auto"/>
        <w:right w:val="none" w:sz="0" w:space="0" w:color="auto"/>
      </w:divBdr>
    </w:div>
    <w:div w:id="1719014774">
      <w:bodyDiv w:val="1"/>
      <w:marLeft w:val="0"/>
      <w:marRight w:val="0"/>
      <w:marTop w:val="0"/>
      <w:marBottom w:val="0"/>
      <w:divBdr>
        <w:top w:val="none" w:sz="0" w:space="0" w:color="auto"/>
        <w:left w:val="none" w:sz="0" w:space="0" w:color="auto"/>
        <w:bottom w:val="none" w:sz="0" w:space="0" w:color="auto"/>
        <w:right w:val="none" w:sz="0" w:space="0" w:color="auto"/>
      </w:divBdr>
    </w:div>
    <w:div w:id="1769041081">
      <w:bodyDiv w:val="1"/>
      <w:marLeft w:val="0"/>
      <w:marRight w:val="0"/>
      <w:marTop w:val="0"/>
      <w:marBottom w:val="0"/>
      <w:divBdr>
        <w:top w:val="none" w:sz="0" w:space="0" w:color="auto"/>
        <w:left w:val="none" w:sz="0" w:space="0" w:color="auto"/>
        <w:bottom w:val="none" w:sz="0" w:space="0" w:color="auto"/>
        <w:right w:val="none" w:sz="0" w:space="0" w:color="auto"/>
      </w:divBdr>
    </w:div>
    <w:div w:id="1776703600">
      <w:bodyDiv w:val="1"/>
      <w:marLeft w:val="0"/>
      <w:marRight w:val="0"/>
      <w:marTop w:val="0"/>
      <w:marBottom w:val="0"/>
      <w:divBdr>
        <w:top w:val="none" w:sz="0" w:space="0" w:color="auto"/>
        <w:left w:val="none" w:sz="0" w:space="0" w:color="auto"/>
        <w:bottom w:val="none" w:sz="0" w:space="0" w:color="auto"/>
        <w:right w:val="none" w:sz="0" w:space="0" w:color="auto"/>
      </w:divBdr>
    </w:div>
    <w:div w:id="1807352410">
      <w:bodyDiv w:val="1"/>
      <w:marLeft w:val="0"/>
      <w:marRight w:val="0"/>
      <w:marTop w:val="0"/>
      <w:marBottom w:val="0"/>
      <w:divBdr>
        <w:top w:val="none" w:sz="0" w:space="0" w:color="auto"/>
        <w:left w:val="none" w:sz="0" w:space="0" w:color="auto"/>
        <w:bottom w:val="none" w:sz="0" w:space="0" w:color="auto"/>
        <w:right w:val="none" w:sz="0" w:space="0" w:color="auto"/>
      </w:divBdr>
    </w:div>
    <w:div w:id="1868255483">
      <w:bodyDiv w:val="1"/>
      <w:marLeft w:val="0"/>
      <w:marRight w:val="0"/>
      <w:marTop w:val="0"/>
      <w:marBottom w:val="0"/>
      <w:divBdr>
        <w:top w:val="none" w:sz="0" w:space="0" w:color="auto"/>
        <w:left w:val="none" w:sz="0" w:space="0" w:color="auto"/>
        <w:bottom w:val="none" w:sz="0" w:space="0" w:color="auto"/>
        <w:right w:val="none" w:sz="0" w:space="0" w:color="auto"/>
      </w:divBdr>
    </w:div>
    <w:div w:id="1881086861">
      <w:bodyDiv w:val="1"/>
      <w:marLeft w:val="0"/>
      <w:marRight w:val="0"/>
      <w:marTop w:val="0"/>
      <w:marBottom w:val="0"/>
      <w:divBdr>
        <w:top w:val="none" w:sz="0" w:space="0" w:color="auto"/>
        <w:left w:val="none" w:sz="0" w:space="0" w:color="auto"/>
        <w:bottom w:val="none" w:sz="0" w:space="0" w:color="auto"/>
        <w:right w:val="none" w:sz="0" w:space="0" w:color="auto"/>
      </w:divBdr>
    </w:div>
    <w:div w:id="1888908894">
      <w:bodyDiv w:val="1"/>
      <w:marLeft w:val="0"/>
      <w:marRight w:val="0"/>
      <w:marTop w:val="0"/>
      <w:marBottom w:val="0"/>
      <w:divBdr>
        <w:top w:val="none" w:sz="0" w:space="0" w:color="auto"/>
        <w:left w:val="none" w:sz="0" w:space="0" w:color="auto"/>
        <w:bottom w:val="none" w:sz="0" w:space="0" w:color="auto"/>
        <w:right w:val="none" w:sz="0" w:space="0" w:color="auto"/>
      </w:divBdr>
    </w:div>
    <w:div w:id="1891962948">
      <w:bodyDiv w:val="1"/>
      <w:marLeft w:val="0"/>
      <w:marRight w:val="0"/>
      <w:marTop w:val="0"/>
      <w:marBottom w:val="0"/>
      <w:divBdr>
        <w:top w:val="none" w:sz="0" w:space="0" w:color="auto"/>
        <w:left w:val="none" w:sz="0" w:space="0" w:color="auto"/>
        <w:bottom w:val="none" w:sz="0" w:space="0" w:color="auto"/>
        <w:right w:val="none" w:sz="0" w:space="0" w:color="auto"/>
      </w:divBdr>
    </w:div>
    <w:div w:id="1972512113">
      <w:bodyDiv w:val="1"/>
      <w:marLeft w:val="0"/>
      <w:marRight w:val="0"/>
      <w:marTop w:val="0"/>
      <w:marBottom w:val="0"/>
      <w:divBdr>
        <w:top w:val="none" w:sz="0" w:space="0" w:color="auto"/>
        <w:left w:val="none" w:sz="0" w:space="0" w:color="auto"/>
        <w:bottom w:val="none" w:sz="0" w:space="0" w:color="auto"/>
        <w:right w:val="none" w:sz="0" w:space="0" w:color="auto"/>
      </w:divBdr>
    </w:div>
    <w:div w:id="1976905963">
      <w:bodyDiv w:val="1"/>
      <w:marLeft w:val="0"/>
      <w:marRight w:val="0"/>
      <w:marTop w:val="0"/>
      <w:marBottom w:val="0"/>
      <w:divBdr>
        <w:top w:val="none" w:sz="0" w:space="0" w:color="auto"/>
        <w:left w:val="none" w:sz="0" w:space="0" w:color="auto"/>
        <w:bottom w:val="none" w:sz="0" w:space="0" w:color="auto"/>
        <w:right w:val="none" w:sz="0" w:space="0" w:color="auto"/>
      </w:divBdr>
    </w:div>
    <w:div w:id="2021471616">
      <w:bodyDiv w:val="1"/>
      <w:marLeft w:val="0"/>
      <w:marRight w:val="0"/>
      <w:marTop w:val="0"/>
      <w:marBottom w:val="0"/>
      <w:divBdr>
        <w:top w:val="none" w:sz="0" w:space="0" w:color="auto"/>
        <w:left w:val="none" w:sz="0" w:space="0" w:color="auto"/>
        <w:bottom w:val="none" w:sz="0" w:space="0" w:color="auto"/>
        <w:right w:val="none" w:sz="0" w:space="0" w:color="auto"/>
      </w:divBdr>
    </w:div>
    <w:div w:id="2027124724">
      <w:bodyDiv w:val="1"/>
      <w:marLeft w:val="0"/>
      <w:marRight w:val="0"/>
      <w:marTop w:val="0"/>
      <w:marBottom w:val="0"/>
      <w:divBdr>
        <w:top w:val="none" w:sz="0" w:space="0" w:color="auto"/>
        <w:left w:val="none" w:sz="0" w:space="0" w:color="auto"/>
        <w:bottom w:val="none" w:sz="0" w:space="0" w:color="auto"/>
        <w:right w:val="none" w:sz="0" w:space="0" w:color="auto"/>
      </w:divBdr>
    </w:div>
    <w:div w:id="2066562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bskupina.si/nlb-group" TargetMode="External"/><Relationship Id="rId13"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18"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5"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 Type="http://schemas.openxmlformats.org/officeDocument/2006/relationships/numbering" Target="numbering.xml"/><Relationship Id="rId16"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0"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rm.mk/content/Regulativa/%D0%9E%D0%B4%D0%BB%D1%83%D0%BA%D0%B0%20%D0%B7%D0%B0%20%D0%BC%D0%B5%D1%82%D0%BE%D0%B4%D0%BE%D0%BB%D0%BE%D0%B3%D0%B8%D1%98%D0%B0%D1%82%D0%B0%20%D0%B7%D0%B0%20%D1%83%D1%82%D0%B2%D1%80%D0%B4%D1%83%D0%B2%D0%B0%D1%9A%D0%B5%20%D0%BD%D0%B0%20%D0%B0%D0%B4%D0%B5%D0%BA%D0%B2%D0%B0%D1%82%D0%BD%D0%BE%D1%81%D1%82%D0%B0%20%D0%BD%D0%B0%20%D0%BA%D0%B0%D0%BF%D0%B8%D1%82%D0%B0%D0%BB%D0%BE%D1%82%20(%D0%BF%D1%80%D0%B5%D1%87%D0%B8%D1%81%D1%82%D0%B5%D0%BD%20%D1%82%D0%B5%D0%BA%D1%81%D1%82%20%D1%81%D0%BE%20167.20%20).pdf" TargetMode="External"/><Relationship Id="rId24"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5" Type="http://schemas.openxmlformats.org/officeDocument/2006/relationships/webSettings" Target="webSettings.xml"/><Relationship Id="rId15"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hyperlink" Target="https://www.nbrm.mk/ns-newsarticle-odluka_adiekvatnost_na_kapitalot_nova.nspx" TargetMode="External"/><Relationship Id="rId19"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4" Type="http://schemas.openxmlformats.org/officeDocument/2006/relationships/settings" Target="settings.xml"/><Relationship Id="rId9" Type="http://schemas.openxmlformats.org/officeDocument/2006/relationships/hyperlink" Target="http://www.nlbskupina.si/nlb-group-companies" TargetMode="External"/><Relationship Id="rId14" Type="http://schemas.openxmlformats.org/officeDocument/2006/relationships/hyperlink" Target="https://nlb.mk/cms/TinyMCE/FileManager/4.%20%D0%A4%D0%B8%D0%BD%D0%B0%D0%BD%D1%81%D0%B8%D1%81%D0%BA%D0%B8%D1%82%D0%B5%20%D0%B8%D0%B7%D0%B2%D0%B5%D1%88%D1%82%D0%B0%D0%B8%20%D0%BD%D0%B0%20%D0%9D%D0%9B%D0%91%20%D0%91%D0%B0%D0%BD%D0%BA%D0%B0%20%D0%90%D0%94%20%D0%A1%D0%BA%D0%BE%D0%BF%D1%98%D0%B5,%20%D0%B8%D0%B7%D0%B3%D0%BE%D1%82%D0%B2%D0%B5%D0%BD%D0%B8%20%D0%B2%D0%BE%20%D1%81%D0%BE%D0%B3%D0%BB%D0%B0%D1%81%D0%BD%D0%BE%D1%81%D1%82%20%D1%81%D0%BE%20%D0%BB%D0%BE%D0%BA%D0%B0%D0%BB%D0%BD%D0%B0%D1%82%D0%B0%20%D1%80%D0%B5%D0%B3%D1%83%D0%BB%D0%B0%D1%82%D0%B8%D0%B2%D0%B0%20%D0%B7%D0%B0%202023%20%D0%B3%D0%BE%D0%B4%D0%B8%D0%BD%D0%B011.pdf" TargetMode="External"/><Relationship Id="rId22" Type="http://schemas.openxmlformats.org/officeDocument/2006/relationships/image" Target="media/image2.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aseva\AppData\Roaming\Microsoft\Templates\NLB_dopisvnatres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D3EF-8F74-4A32-B3F6-BC2CF6B4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NLB_dopisvnatresen.dot</Template>
  <TotalTime>0</TotalTime>
  <Pages>25</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Predloga za oblikovanje navadnih dokumentov</vt:lpstr>
    </vt:vector>
  </TitlesOfParts>
  <Company>NLB d.d.</Company>
  <LinksUpToDate>false</LinksUpToDate>
  <CharactersWithSpaces>58645</CharactersWithSpaces>
  <SharedDoc>false</SharedDoc>
  <HLinks>
    <vt:vector size="84" baseType="variant">
      <vt:variant>
        <vt:i4>851985</vt:i4>
      </vt:variant>
      <vt:variant>
        <vt:i4>39</vt:i4>
      </vt:variant>
      <vt:variant>
        <vt:i4>0</vt:i4>
      </vt:variant>
      <vt:variant>
        <vt:i4>5</vt:i4>
      </vt:variant>
      <vt:variant>
        <vt:lpwstr>http://www.nlbtb.com.mk/upload/2013GS4NLBStatutory31.12.2012kirilica.pdf</vt:lpwstr>
      </vt:variant>
      <vt:variant>
        <vt:lpwstr/>
      </vt:variant>
      <vt:variant>
        <vt:i4>851985</vt:i4>
      </vt:variant>
      <vt:variant>
        <vt:i4>36</vt:i4>
      </vt:variant>
      <vt:variant>
        <vt:i4>0</vt:i4>
      </vt:variant>
      <vt:variant>
        <vt:i4>5</vt:i4>
      </vt:variant>
      <vt:variant>
        <vt:lpwstr>http://www.nlbtb.com.mk/upload/2013GS4NLBStatutory31.12.2012kirilica.pdf</vt:lpwstr>
      </vt:variant>
      <vt:variant>
        <vt:lpwstr/>
      </vt:variant>
      <vt:variant>
        <vt:i4>851985</vt:i4>
      </vt:variant>
      <vt:variant>
        <vt:i4>33</vt:i4>
      </vt:variant>
      <vt:variant>
        <vt:i4>0</vt:i4>
      </vt:variant>
      <vt:variant>
        <vt:i4>5</vt:i4>
      </vt:variant>
      <vt:variant>
        <vt:lpwstr>http://www.nlbtb.com.mk/upload/2013GS4NLBStatutory31.12.2012kirilica.pdf</vt:lpwstr>
      </vt:variant>
      <vt:variant>
        <vt:lpwstr/>
      </vt:variant>
      <vt:variant>
        <vt:i4>851985</vt:i4>
      </vt:variant>
      <vt:variant>
        <vt:i4>30</vt:i4>
      </vt:variant>
      <vt:variant>
        <vt:i4>0</vt:i4>
      </vt:variant>
      <vt:variant>
        <vt:i4>5</vt:i4>
      </vt:variant>
      <vt:variant>
        <vt:lpwstr>http://www.nlbtb.com.mk/upload/2013GS4NLBStatutory31.12.2012kirilica.pdf</vt:lpwstr>
      </vt:variant>
      <vt:variant>
        <vt:lpwstr/>
      </vt:variant>
      <vt:variant>
        <vt:i4>851985</vt:i4>
      </vt:variant>
      <vt:variant>
        <vt:i4>27</vt:i4>
      </vt:variant>
      <vt:variant>
        <vt:i4>0</vt:i4>
      </vt:variant>
      <vt:variant>
        <vt:i4>5</vt:i4>
      </vt:variant>
      <vt:variant>
        <vt:lpwstr>http://www.nlbtb.com.mk/upload/2013GS4NLBStatutory31.12.2012kirilica.pdf</vt:lpwstr>
      </vt:variant>
      <vt:variant>
        <vt:lpwstr/>
      </vt:variant>
      <vt:variant>
        <vt:i4>851985</vt:i4>
      </vt:variant>
      <vt:variant>
        <vt:i4>24</vt:i4>
      </vt:variant>
      <vt:variant>
        <vt:i4>0</vt:i4>
      </vt:variant>
      <vt:variant>
        <vt:i4>5</vt:i4>
      </vt:variant>
      <vt:variant>
        <vt:lpwstr>http://www.nlbtb.com.mk/upload/2013GS4NLBStatutory31.12.2012kirilica.pdf</vt:lpwstr>
      </vt:variant>
      <vt:variant>
        <vt:lpwstr/>
      </vt:variant>
      <vt:variant>
        <vt:i4>851985</vt:i4>
      </vt:variant>
      <vt:variant>
        <vt:i4>21</vt:i4>
      </vt:variant>
      <vt:variant>
        <vt:i4>0</vt:i4>
      </vt:variant>
      <vt:variant>
        <vt:i4>5</vt:i4>
      </vt:variant>
      <vt:variant>
        <vt:lpwstr>http://www.nlbtb.com.mk/upload/2013GS4NLBStatutory31.12.2012kirilica.pdf</vt:lpwstr>
      </vt:variant>
      <vt:variant>
        <vt:lpwstr/>
      </vt:variant>
      <vt:variant>
        <vt:i4>851985</vt:i4>
      </vt:variant>
      <vt:variant>
        <vt:i4>18</vt:i4>
      </vt:variant>
      <vt:variant>
        <vt:i4>0</vt:i4>
      </vt:variant>
      <vt:variant>
        <vt:i4>5</vt:i4>
      </vt:variant>
      <vt:variant>
        <vt:lpwstr>http://www.nlbtb.com.mk/upload/2013GS4NLBStatutory31.12.2012kirilica.pdf</vt:lpwstr>
      </vt:variant>
      <vt:variant>
        <vt:lpwstr/>
      </vt:variant>
      <vt:variant>
        <vt:i4>851985</vt:i4>
      </vt:variant>
      <vt:variant>
        <vt:i4>15</vt:i4>
      </vt:variant>
      <vt:variant>
        <vt:i4>0</vt:i4>
      </vt:variant>
      <vt:variant>
        <vt:i4>5</vt:i4>
      </vt:variant>
      <vt:variant>
        <vt:lpwstr>http://www.nlbtb.com.mk/upload/2013GS4NLBStatutory31.12.2012kirilica.pdf</vt:lpwstr>
      </vt:variant>
      <vt:variant>
        <vt:lpwstr/>
      </vt:variant>
      <vt:variant>
        <vt:i4>851985</vt:i4>
      </vt:variant>
      <vt:variant>
        <vt:i4>12</vt:i4>
      </vt:variant>
      <vt:variant>
        <vt:i4>0</vt:i4>
      </vt:variant>
      <vt:variant>
        <vt:i4>5</vt:i4>
      </vt:variant>
      <vt:variant>
        <vt:lpwstr>http://www.nlbtb.com.mk/upload/2013GS4NLBStatutory31.12.2012kirilica.pdf</vt:lpwstr>
      </vt:variant>
      <vt:variant>
        <vt:lpwstr/>
      </vt:variant>
      <vt:variant>
        <vt:i4>6684687</vt:i4>
      </vt:variant>
      <vt:variant>
        <vt:i4>9</vt:i4>
      </vt:variant>
      <vt:variant>
        <vt:i4>0</vt:i4>
      </vt:variant>
      <vt:variant>
        <vt:i4>5</vt:i4>
      </vt:variant>
      <vt:variant>
        <vt:lpwstr>http://www.nbrm.mk/WBStorage/Files/Regulativa_Odluka_adekvatnost_na_kapitalot_izmeni_mart_2013.pdf</vt:lpwstr>
      </vt:variant>
      <vt:variant>
        <vt:lpwstr/>
      </vt:variant>
      <vt:variant>
        <vt:i4>5308463</vt:i4>
      </vt:variant>
      <vt:variant>
        <vt:i4>6</vt:i4>
      </vt:variant>
      <vt:variant>
        <vt:i4>0</vt:i4>
      </vt:variant>
      <vt:variant>
        <vt:i4>5</vt:i4>
      </vt:variant>
      <vt:variant>
        <vt:lpwstr>http://www.nbrm.mk/WBStorage/Files/Regulativa_Odluka_adekvatnost_na_kapitalot_2012.pdf</vt:lpwstr>
      </vt:variant>
      <vt:variant>
        <vt:lpwstr/>
      </vt:variant>
      <vt:variant>
        <vt:i4>1310737</vt:i4>
      </vt:variant>
      <vt:variant>
        <vt:i4>3</vt:i4>
      </vt:variant>
      <vt:variant>
        <vt:i4>0</vt:i4>
      </vt:variant>
      <vt:variant>
        <vt:i4>5</vt:i4>
      </vt:variant>
      <vt:variant>
        <vt:lpwstr>http://www.nlbskupina.si/nlb-group-companies</vt:lpwstr>
      </vt:variant>
      <vt:variant>
        <vt:lpwstr/>
      </vt:variant>
      <vt:variant>
        <vt:i4>1507359</vt:i4>
      </vt:variant>
      <vt:variant>
        <vt:i4>0</vt:i4>
      </vt:variant>
      <vt:variant>
        <vt:i4>0</vt:i4>
      </vt:variant>
      <vt:variant>
        <vt:i4>5</vt:i4>
      </vt:variant>
      <vt:variant>
        <vt:lpwstr>http://www.nlbskupina.si/nlb-group-chart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za oblikovanje navadnih dokumentov</dc:title>
  <dc:creator>markovska</dc:creator>
  <cp:lastModifiedBy>Bojana Taseva Ivanovski</cp:lastModifiedBy>
  <cp:revision>2</cp:revision>
  <cp:lastPrinted>2019-04-24T07:54:00Z</cp:lastPrinted>
  <dcterms:created xsi:type="dcterms:W3CDTF">2024-07-12T13:26:00Z</dcterms:created>
  <dcterms:modified xsi:type="dcterms:W3CDTF">2024-07-12T13:26:00Z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1a64e4-4cbc-45d0-ae07-b47811971f08_Enabled">
    <vt:lpwstr>true</vt:lpwstr>
  </property>
  <property fmtid="{D5CDD505-2E9C-101B-9397-08002B2CF9AE}" pid="3" name="MSIP_Label_d31a64e4-4cbc-45d0-ae07-b47811971f08_SetDate">
    <vt:lpwstr>2024-05-02T14:03:14Z</vt:lpwstr>
  </property>
  <property fmtid="{D5CDD505-2E9C-101B-9397-08002B2CF9AE}" pid="4" name="MSIP_Label_d31a64e4-4cbc-45d0-ae07-b47811971f08_Method">
    <vt:lpwstr>Privileged</vt:lpwstr>
  </property>
  <property fmtid="{D5CDD505-2E9C-101B-9397-08002B2CF9AE}" pid="5" name="MSIP_Label_d31a64e4-4cbc-45d0-ae07-b47811971f08_Name">
    <vt:lpwstr>nlbsk-lbl-public</vt:lpwstr>
  </property>
  <property fmtid="{D5CDD505-2E9C-101B-9397-08002B2CF9AE}" pid="6" name="MSIP_Label_d31a64e4-4cbc-45d0-ae07-b47811971f08_SiteId">
    <vt:lpwstr>368e92b5-dfa0-4bce-9594-4c2e6fd2d1eb</vt:lpwstr>
  </property>
  <property fmtid="{D5CDD505-2E9C-101B-9397-08002B2CF9AE}" pid="7" name="MSIP_Label_d31a64e4-4cbc-45d0-ae07-b47811971f08_ActionId">
    <vt:lpwstr>1a160623-307f-4d5f-be53-57ddabd9aeb5</vt:lpwstr>
  </property>
  <property fmtid="{D5CDD505-2E9C-101B-9397-08002B2CF9AE}" pid="8" name="MSIP_Label_d31a64e4-4cbc-45d0-ae07-b47811971f08_ContentBits">
    <vt:lpwstr>0</vt:lpwstr>
  </property>
</Properties>
</file>